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49" w:type="pct"/>
        <w:tblInd w:w="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5"/>
      </w:tblGrid>
      <w:tr w:rsidR="00F35C3B" w:rsidRPr="00F35C3B" w:rsidTr="00F35C3B">
        <w:tc>
          <w:tcPr>
            <w:tcW w:w="0" w:type="auto"/>
            <w:shd w:val="clear" w:color="auto" w:fill="FFFFFF"/>
            <w:hideMark/>
          </w:tcPr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C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Ελλάς Α.Ε.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Λ. Μεσογείων 243, Νέο Ψυχικό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Αθήνα, 154 51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F35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.:  210 67 85 800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 Μαρτίου 2022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 xml:space="preserve">Θέμα: Ενημέρωση για έλλειψη </w:t>
            </w:r>
            <w:proofErr w:type="spellStart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vertAlign w:val="superscript"/>
              </w:rPr>
              <w:t>®</w:t>
            </w: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 xml:space="preserve"> (υδροχλωρική </w:t>
            </w:r>
            <w:proofErr w:type="spellStart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κιναπρίλη</w:t>
            </w:r>
            <w:proofErr w:type="spellEnd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 xml:space="preserve"> και </w:t>
            </w:r>
            <w:proofErr w:type="spellStart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 xml:space="preserve">) δισκία-ανίχνευση </w:t>
            </w:r>
            <w:proofErr w:type="spellStart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νιτροζαμινών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Αξιότιμε Επαγγελματία Υγείας,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Σκοπός της παρούσας επιστολής είναι η ενημέρωσή σας σχετικά με </w:t>
            </w: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 xml:space="preserve">νέες σημαντικές πληροφορίες ασφαλείας για το </w:t>
            </w:r>
            <w:proofErr w:type="spellStart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vertAlign w:val="superscript"/>
              </w:rPr>
              <w:t>®</w:t>
            </w: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  <w:vertAlign w:val="superscript"/>
              </w:rPr>
              <w:t xml:space="preserve"> </w:t>
            </w: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(υδροχλωρική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και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), επικαλυμμένα με λεπτό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υμένιο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δισκία, 20/12.5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mg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.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Η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, θα ήθελε να σας ενημερώσει για τα εξής: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Περίληψη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Ανακαλούνται, σε συμφωνία με τον ΕΟΦ, όλες οι παρτίδες των δισκίων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(υδροχλωρική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και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) σε επίπεδο φαρμακείου, λόγω του επιβεβαιωτικού ελέγχου στον οποίο ανιχνεύθηκαν επίπεδα N-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-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πάνω από το όριο της αποδεκτής ημερήσιας πρόσληψης των 18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ng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/ημέρα. Επίσης, ανιχνεύθηκε N-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-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σε επίπεδα κάτω από την αποδεκτή ημερήσια πρόσληψη.</w:t>
            </w:r>
          </w:p>
          <w:p w:rsidR="00F35C3B" w:rsidRPr="00F35C3B" w:rsidRDefault="00F35C3B" w:rsidP="00F35C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Με βάση τα διαθέσιμα δεδομένα, η σχέση οφέλους κινδύνου του προϊόντος παραμένει θετική.</w:t>
            </w:r>
          </w:p>
          <w:p w:rsidR="00F35C3B" w:rsidRPr="00F35C3B" w:rsidRDefault="00F35C3B" w:rsidP="00F35C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Η ανάκληση και η διακοπή της διανομής θα οδηγήσει σε έλλειψη του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. Επί του παρόντος, δε μπορεί να διατεθεί κάποια πληροφορία σχετικά με το πότε θα είναι πάλι διαθέσιμο το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.</w:t>
            </w:r>
          </w:p>
          <w:p w:rsidR="00F35C3B" w:rsidRPr="00F35C3B" w:rsidRDefault="00F35C3B" w:rsidP="00F35C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Οι επαγγελματίες υγείας πρέπει να συμβουλεύουν τους ασθενείς που υποβάλλονται σε θεραπεία να μη διακόψουν το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χωρίς να τους συμβουλευτούν και να συζητήσουν μαζί τους τυχόν ερωτήσεις ή ανησυχίες έχουν. </w:t>
            </w:r>
          </w:p>
          <w:p w:rsidR="00F35C3B" w:rsidRPr="00F35C3B" w:rsidRDefault="00F35C3B" w:rsidP="00F35C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Για ασθενείς που ήδη λαμβάνουν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, δεν αναμένεται να είναι δυνατή η συνέχιση της θεραπείας και οι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συνταγογράφοι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επαγγελματίες υγείας θα πρέπει να εξετάζουν τη μετάβαση σε εναλλακτική θεραπεία. </w:t>
            </w:r>
          </w:p>
          <w:p w:rsidR="00F35C3B" w:rsidRPr="00F35C3B" w:rsidRDefault="00F35C3B" w:rsidP="00F35C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Οι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συνταγογράφοι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επαγγελματίες υγείας θα πρέπει να χρησιμοποιούν την κλινική τους κρίση για να προσδιορίσουν την καλύτερη εναλλακτική θεραπεία για τον ασθενή τους.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Ιστορικό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Τα αποτελέσματα των ελέγχων έδειξαν ότι τα επίπεδα της N-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-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στο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υπερέβησαν το όριο της Αποδεκτής Ημερήσιας Πρόσληψης (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acceptable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daily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intake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(ADI)). N-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-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ανιχνεύθηκε σε επίπεδα κάτω από την ADI.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Η N-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-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και η N-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νιτροζο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-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είναι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νιτροζαμίνες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. Οι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νιτροζαμίνες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ταξινομούνται ως πιθανώς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καρκινογόνες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για τον άνθρωπο (ουσίες οι οποίες θα μπορούσαν να προκαλέσουν καρκίνο). Οι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νιτροζαμίνες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βρίσκονται σε πολύ χαμηλά επίπεδα στο νερό και στα τρόφιμα, συμπεριλαμβανομένων των αλλαντικών και των ψητών κρεάτων, των γαλακτοκομικών προϊόντων και των λαχανικών. Οι προσμίξεις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νιτροζαμίνης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μπορεί να αυξήσουν τον κίνδυνο καρκίνου εάν οι άνθρωποι εκτίθενται σε αυτές πάνω από τα επιτρεπτά όρια για μεγάλες χρονικές περιόδους. Προληπτικά, η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προχωράει, σε συμφωνία με τον ΕΟΦ, σε ανάκληση όλων των </w:t>
            </w: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lastRenderedPageBreak/>
              <w:t xml:space="preserve">παρτίδων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(υδροχλωρική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και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) σε επίπεδο φαρμακείου.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Πρόσκληση για αναφορά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Υπενθυμίζεται στους επαγγελματίες υγείας να συνεχίσουν να αναφέρουν πιθανολογούμενες ανεπιθύμητες αντιδράσεις που σχετίζονται με το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σύμφωνα με το εθνικό σύστημα αυθόρμητων αναφορών στον Εθνικό Οργανισμό Φαρμάκων, Τμήμα Ανεπιθύμητων Ενεργειών, με την υποβολή της Κίτρινης Κάρτας με τους εξής τρόπους:</w:t>
            </w:r>
          </w:p>
          <w:p w:rsidR="00F35C3B" w:rsidRPr="00F35C3B" w:rsidRDefault="00F35C3B" w:rsidP="00F35C3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Ηλεκτρονική υποβολή της Κίτρινης Κάρτας μέσω της ιστοσελίδας του ΕΟΦ </w:t>
            </w:r>
            <w:hyperlink r:id="rId6" w:tgtFrame="_blank" w:history="1">
              <w:r w:rsidRPr="00F35C3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</w:rPr>
                <w:t>http://www.eof.gr</w:t>
              </w:r>
            </w:hyperlink>
          </w:p>
          <w:p w:rsidR="00F35C3B" w:rsidRPr="00F35C3B" w:rsidRDefault="00F35C3B" w:rsidP="00F35C3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Έντυπη μορφή αποστολή μέσω ταχυδρομείου, ατελώς, στο Τμήμα Ανεπιθύμητων Ενεργειών του ΕΟΦ (Μεσογείων 284, 15562) τηλέφωνο επικοινωνίας: 213-2040380 ή 213-2040337.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Εναλλακτικά, η πιθανολογούμενη ανεπιθύμητη ενέργεια συμπεριλαμβανομένων ελαττωμάτων του προϊόντος, μπορούν επίσης να αναφερθούν στον κάτοχο της άδειας κυκλοφορίας: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PFIZER ΕΛΛΑΣ Α.Ε.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Τηλέφωνο: 210 67 85 800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ΦΑΞ: 00800 161 2206 4512 (χωρίς χρέωση)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Fax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: 210 8199096 (με χρέωση)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Για πρόσθετες ιατρικές ερωτήσεις σχετικά με το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παρακαλείστε να επικοινωνήσετε με το </w:t>
            </w: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τμήμα Ιατρικής Ενημέρωσης</w:t>
            </w: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στο τηλέφωνο: 210 6785800.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Στοιχεία επικοινωνίας με την εταιρεία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Για τυχόν περαιτέρω ερωτήσεις σχετικά με την επιστολή αυτή ή για περισσότερες πληροφορίες σχετικά με το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Accuretic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  <w:vertAlign w:val="superscript"/>
              </w:rPr>
              <w:t>®</w:t>
            </w: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(υδροχλωρική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κιναπρίλη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και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υδροχλωροθειαζίδη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) παρακαλείστε να επικοινωνήσετε με: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Τμήμα Ιατρικής Ενημέρωσης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Στοιχεία επικοινωνίας για πρόσβαση σε περαιτέρω πληροφορίες: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Εταιρεία: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Ελλάς Α.Ε.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Τηλ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: 210 6785800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Ηλεκτρονικό ταχυδρομείο: </w:t>
            </w:r>
            <w:hyperlink r:id="rId7" w:tgtFrame="_blank" w:history="1">
              <w:r w:rsidRPr="00F35C3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</w:rPr>
                <w:t>medical.information@pfizer.com</w:t>
              </w:r>
            </w:hyperlink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Με εκτίμηση για τη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Ελλάς A.E.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 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Δαμιανός </w:t>
            </w:r>
            <w:proofErr w:type="spellStart"/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Μένεγας</w:t>
            </w:r>
            <w:proofErr w:type="spellEnd"/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Ιατρικός Διευθυντής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Ελλάδα, Κύπρος, Μάλτα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5"/>
            </w:tblGrid>
            <w:tr w:rsidR="00F35C3B" w:rsidRPr="00F35C3B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55"/>
                  </w:tblGrid>
                  <w:tr w:rsidR="00F35C3B" w:rsidRPr="00F35C3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646463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F35C3B" w:rsidRPr="00F35C3B" w:rsidRDefault="00F35C3B" w:rsidP="00F35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35C3B" w:rsidRPr="00F35C3B" w:rsidRDefault="00F35C3B" w:rsidP="00F35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Το παρόν απευθύνεται αυστηρά σε επαγγελματίες υγείας. Οποιαδήποτε προώθηση του παρόντος ή κοινοποίηση του περιεχομένου του σε μη επαγγελματία υγείας απαγορεύεται ρητά και ο αποστολέας δε φέρει καμία ευθύνη.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Το παρόν σας αποστέλλεται διότι δηλώσατε ενδιαφέρον να λαμβάνετε μηνύματα ηλεκτρονικής ενημέρωσης από την </w:t>
            </w:r>
            <w:proofErr w:type="spellStart"/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. Σε περίπτωση που επιθυμείτε να διαγραφείτε από τη λίστα παραληπτών των εν λόγω ηλεκτρονικών μηνυμάτων, παρακαλούμε πατήστε </w:t>
            </w:r>
            <w:hyperlink r:id="rId8" w:tgtFrame="_blank" w:history="1">
              <w:r w:rsidRPr="00F35C3B">
                <w:rPr>
                  <w:rFonts w:ascii="Arial" w:eastAsia="Times New Roman" w:hAnsi="Arial" w:cs="Arial"/>
                  <w:color w:val="003FE2"/>
                  <w:sz w:val="15"/>
                  <w:szCs w:val="15"/>
                  <w:u w:val="single"/>
                </w:rPr>
                <w:t>εδώ</w:t>
              </w:r>
            </w:hyperlink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Pfizer</w:t>
            </w:r>
            <w:proofErr w:type="spellEnd"/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Ελλάς Α.Ε., Λ. Μεσογείων 243, Ν. Ψυχικό 154 51, Αθήνα, Ελλάδα, </w:t>
            </w:r>
            <w:proofErr w:type="spellStart"/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Τηλ</w:t>
            </w:r>
            <w:proofErr w:type="spellEnd"/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 Επικοινωνίας 210-6785800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3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Αριθ. Γ.Ε.ΜΗ. 000242901000</w:t>
            </w:r>
          </w:p>
          <w:p w:rsidR="00F35C3B" w:rsidRPr="00F35C3B" w:rsidRDefault="00F35C3B" w:rsidP="00F35C3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F35C3B">
                <w:rPr>
                  <w:rFonts w:ascii="Arial" w:eastAsia="Times New Roman" w:hAnsi="Arial" w:cs="Arial"/>
                  <w:b/>
                  <w:bCs/>
                  <w:color w:val="003FE2"/>
                  <w:sz w:val="15"/>
                  <w:szCs w:val="15"/>
                  <w:u w:val="single"/>
                </w:rPr>
                <w:t xml:space="preserve">Δήλωση </w:t>
              </w:r>
              <w:proofErr w:type="spellStart"/>
              <w:r w:rsidRPr="00F35C3B">
                <w:rPr>
                  <w:rFonts w:ascii="Arial" w:eastAsia="Times New Roman" w:hAnsi="Arial" w:cs="Arial"/>
                  <w:b/>
                  <w:bCs/>
                  <w:color w:val="003FE2"/>
                  <w:sz w:val="15"/>
                  <w:szCs w:val="15"/>
                  <w:u w:val="single"/>
                </w:rPr>
                <w:t>Ιδιωτικότητας</w:t>
              </w:r>
              <w:proofErr w:type="spellEnd"/>
            </w:hyperlink>
            <w:r w:rsidRPr="00F35C3B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 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5"/>
            </w:tblGrid>
            <w:tr w:rsidR="00F35C3B" w:rsidRPr="00F35C3B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2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F35C3B" w:rsidRPr="00F35C3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ED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35C3B" w:rsidRPr="00F35C3B" w:rsidRDefault="00F35C3B" w:rsidP="00F35C3B">
                        <w:pPr>
                          <w:spacing w:before="100" w:beforeAutospacing="1" w:after="100" w:afterAutospacing="1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35C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Βοηθήστε να γίνουν τα φάρμακα πιο ασφαλή και</w:t>
                        </w:r>
                        <w:r w:rsidRPr="00F35C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br/>
                          <w:t>Αναφέρετε</w:t>
                        </w:r>
                        <w:r w:rsidRPr="00F35C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br/>
                          <w:t>ΟΛΕΣ τις ανεπιθύμητες ενέργειες για</w:t>
                        </w:r>
                        <w:r w:rsidRPr="00F35C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br/>
                          <w:t>ΟΛΑ τα φάρμακα</w:t>
                        </w:r>
                        <w:r w:rsidRPr="00F35C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br/>
                          <w:t xml:space="preserve">Συμπληρώνοντας την «ΚΙΤΡΙΝΗ ΚΑΡΤΑ» </w:t>
                        </w:r>
                      </w:p>
                    </w:tc>
                  </w:tr>
                </w:tbl>
                <w:p w:rsidR="00F35C3B" w:rsidRPr="00F35C3B" w:rsidRDefault="00F35C3B" w:rsidP="00F35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C3B" w:rsidRPr="00F35C3B" w:rsidRDefault="00F35C3B" w:rsidP="00F3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C3B" w:rsidRPr="00F35C3B" w:rsidRDefault="00F35C3B" w:rsidP="00F35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C3B" w:rsidRPr="00F35C3B" w:rsidRDefault="00F35C3B" w:rsidP="00F35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C3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06E10" w:rsidRPr="00F35C3B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F35C3B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C0FB5"/>
    <w:multiLevelType w:val="multilevel"/>
    <w:tmpl w:val="8270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8D1718"/>
    <w:multiLevelType w:val="multilevel"/>
    <w:tmpl w:val="593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3B"/>
    <w:rsid w:val="00106E10"/>
    <w:rsid w:val="001A48E2"/>
    <w:rsid w:val="00F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128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1261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3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go5.pfizerpro.com/dc/75mDsEeaQJB5FLEDg6vFwIN3u9XYpHAQaYPL5H4ErW8YXhOFRDKqapMLxWNizSfdNNNuzEEAFXBmQq8dMpnlCdjFON8QWQE5o3zW8e4J4J1JyTDHe1Sd8IMO1OoV4B_guIeU6MriQmp8gVyCBhS_a3fki_2coHBZ7jFSwAFL39vrJf90kd4YM20AnDM9Mqb6nDFBk6VQIZeNFxqYpXkc5SfvB11nyI7v_t_fiopbua3TxI-9K5eROMBbky77jQ6Qj5R_Wc1ZBAtdCxwR60S-3T0B53c7rmmSv2m5AQHlgAnBrzAisNGHezO4kWmisSeM/NDY2LVRKTC05ODAAAAGDdPUB_k1hbYGOgwlnS4YBB0TjDqO20Thtb8Bz7D2P0CyGmeEHCjgWi8OrINyOaAJK9CsnZOQ=__;!!H9nueQsQ!vPNcTxOdu3KozfRksb5fxkeD_aJnSoEdBvrngedPTY-HibnOm5aNccivIropQZr7GnJeNA$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dical.information@pfiz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:/www.eof.gr__;!!H9nueQsQ!vPNcTxOdu3KozfRksb5fxkeD_aJnSoEdBvrngedPTY-HibnOm5aNccivIropQZpciBl-3w$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:/go5.pfizerpro.com/dc/rzCStexJH5IU05-7OIPT-TPnl8A7mE2hrp7D__EzwgkoVNsprIgFYkwpc4O3tuMBGaC4mlnicuhIWGSj1DDEngEG1NGjBkNHlhHvgf6lkyYhC2dbrrnX2DSntEfSJbzY8kVuIOgrBlfO-2t523vZi3-pujDRigZ7zokK9soXUAwLenGdr-uNFNTbPYWDBxC3oLv0sNHZg0P-0OXpMfFd8g==/NDY2LVRKTC05ODAAAAGDdPUB_k1hbYGOgwlnS4YBB0TjDqO20Thtb8Bz7D2P0CyGmeEHCjgWi8OrINyOaAJK9CsnZOQ=__;!!H9nueQsQ!vPNcTxOdu3KozfRksb5fxkeD_aJnSoEdBvrngedPTY-HibnOm5aNccivIropQZowaR1Hww$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3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2022-04-04T06:50:00Z</dcterms:created>
  <dcterms:modified xsi:type="dcterms:W3CDTF">2022-04-04T06:50:00Z</dcterms:modified>
</cp:coreProperties>
</file>