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E9" w:rsidRPr="00CD42E9" w:rsidRDefault="00CD42E9" w:rsidP="00CD42E9">
      <w:pPr>
        <w:spacing w:after="100"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ΔΤ ΕΝΙ ΕΟΠΥΥ - Συνάντηση με Υπουργό Υγείας</w:t>
      </w:r>
      <w:r w:rsidRPr="00CD42E9">
        <w:rPr>
          <w:rFonts w:ascii="Times New Roman" w:eastAsia="Times New Roman" w:hAnsi="Times New Roman" w:cs="Times New Roman"/>
          <w:sz w:val="24"/>
          <w:szCs w:val="24"/>
        </w:rPr>
        <w:br/>
      </w:r>
      <w:r w:rsidRPr="00CD42E9">
        <w:rPr>
          <w:rFonts w:ascii="Times New Roman" w:eastAsia="Times New Roman" w:hAnsi="Times New Roman" w:cs="Times New Roman"/>
          <w:b/>
          <w:bCs/>
          <w:sz w:val="24"/>
          <w:szCs w:val="24"/>
        </w:rPr>
        <w:t>Απάντηση-Προς:</w:t>
      </w:r>
      <w:r w:rsidRPr="00CD42E9">
        <w:rPr>
          <w:rFonts w:ascii="Times New Roman" w:eastAsia="Times New Roman" w:hAnsi="Times New Roman" w:cs="Times New Roman"/>
          <w:sz w:val="24"/>
          <w:szCs w:val="24"/>
        </w:rPr>
        <w:t xml:space="preserve"> </w:t>
      </w:r>
      <w:hyperlink r:id="rId6" w:tgtFrame="_blank" w:history="1">
        <w:r w:rsidRPr="00CD42E9">
          <w:rPr>
            <w:rFonts w:ascii="Times New Roman" w:eastAsia="Times New Roman" w:hAnsi="Times New Roman" w:cs="Times New Roman"/>
            <w:color w:val="0000FF"/>
            <w:sz w:val="24"/>
            <w:szCs w:val="24"/>
            <w:u w:val="single"/>
          </w:rPr>
          <w:t>eni.eopyy@gmail.com</w:t>
        </w:r>
      </w:hyperlink>
      <w:r w:rsidRPr="00CD42E9">
        <w:rPr>
          <w:rFonts w:ascii="Times New Roman" w:eastAsia="Times New Roman" w:hAnsi="Times New Roman" w:cs="Times New Roman"/>
          <w:sz w:val="24"/>
          <w:szCs w:val="24"/>
        </w:rPr>
        <w:br/>
      </w:r>
    </w:p>
    <w:tbl>
      <w:tblPr>
        <w:tblW w:w="5000" w:type="pct"/>
        <w:tblCellSpacing w:w="0" w:type="dxa"/>
        <w:shd w:val="clear" w:color="auto" w:fill="C5D7E5"/>
        <w:tblCellMar>
          <w:left w:w="0" w:type="dxa"/>
          <w:right w:w="0" w:type="dxa"/>
        </w:tblCellMar>
        <w:tblLook w:val="04A0" w:firstRow="1" w:lastRow="0" w:firstColumn="1" w:lastColumn="0" w:noHBand="0" w:noVBand="1"/>
      </w:tblPr>
      <w:tblGrid>
        <w:gridCol w:w="8906"/>
      </w:tblGrid>
      <w:tr w:rsidR="00CD42E9" w:rsidRPr="00CD42E9" w:rsidTr="00CD42E9">
        <w:trPr>
          <w:tblCellSpacing w:w="0" w:type="dxa"/>
        </w:trPr>
        <w:tc>
          <w:tcPr>
            <w:tcW w:w="0" w:type="auto"/>
            <w:shd w:val="clear" w:color="auto" w:fill="CCCCCC"/>
            <w:tcMar>
              <w:top w:w="0" w:type="dxa"/>
              <w:left w:w="300" w:type="dxa"/>
              <w:bottom w:w="300" w:type="dxa"/>
              <w:right w:w="300" w:type="dxa"/>
            </w:tcMar>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8306"/>
            </w:tblGrid>
            <w:tr w:rsidR="00CD42E9" w:rsidRPr="00CD42E9" w:rsidTr="00CD42E9">
              <w:trPr>
                <w:tblCellSpacing w:w="0" w:type="dxa"/>
                <w:jc w:val="center"/>
              </w:trPr>
              <w:tc>
                <w:tcPr>
                  <w:tcW w:w="0" w:type="auto"/>
                  <w:vAlign w:val="center"/>
                  <w:hideMark/>
                </w:tcPr>
                <w:p w:rsidR="00CD42E9" w:rsidRPr="00CD42E9" w:rsidRDefault="00CD42E9" w:rsidP="00CD42E9">
                  <w:pPr>
                    <w:spacing w:before="100" w:beforeAutospacing="1" w:after="100" w:afterAutospacing="1" w:line="360" w:lineRule="atLeast"/>
                    <w:rPr>
                      <w:rFonts w:ascii="Verdana" w:eastAsia="Times New Roman" w:hAnsi="Verdana" w:cs="Times New Roman"/>
                      <w:color w:val="978E82"/>
                      <w:sz w:val="17"/>
                      <w:szCs w:val="17"/>
                      <w:lang w:val="en-US"/>
                    </w:rPr>
                  </w:pPr>
                  <w:r w:rsidRPr="00CD42E9">
                    <w:rPr>
                      <w:rFonts w:ascii="Verdana" w:eastAsia="Times New Roman" w:hAnsi="Verdana" w:cs="Times New Roman"/>
                      <w:color w:val="978E82"/>
                      <w:sz w:val="17"/>
                      <w:szCs w:val="17"/>
                      <w:lang w:val="en-US"/>
                    </w:rPr>
                    <w:t xml:space="preserve">You are subscribed as </w:t>
                  </w:r>
                  <w:hyperlink r:id="rId7" w:tgtFrame="_blank" w:history="1">
                    <w:r w:rsidRPr="00CD42E9">
                      <w:rPr>
                        <w:rFonts w:ascii="Verdana" w:eastAsia="Times New Roman" w:hAnsi="Verdana" w:cs="Times New Roman"/>
                        <w:color w:val="0000FF"/>
                        <w:sz w:val="17"/>
                        <w:szCs w:val="17"/>
                        <w:u w:val="single"/>
                        <w:lang w:val="en-US"/>
                      </w:rPr>
                      <w:t>kaloudismd@yahoo.gr</w:t>
                    </w:r>
                  </w:hyperlink>
                </w:p>
              </w:tc>
            </w:tr>
            <w:tr w:rsidR="00CD42E9" w:rsidRPr="00CD42E9" w:rsidTr="00CD42E9">
              <w:trPr>
                <w:trHeight w:val="150"/>
                <w:tblCellSpacing w:w="0" w:type="dxa"/>
                <w:jc w:val="center"/>
              </w:trPr>
              <w:tc>
                <w:tcPr>
                  <w:tcW w:w="0" w:type="auto"/>
                  <w:vAlign w:val="center"/>
                  <w:hideMark/>
                </w:tcPr>
                <w:p w:rsidR="00CD42E9" w:rsidRPr="00CD42E9" w:rsidRDefault="00CD42E9" w:rsidP="00CD42E9">
                  <w:pPr>
                    <w:spacing w:after="0" w:line="150" w:lineRule="atLeast"/>
                    <w:rPr>
                      <w:rFonts w:ascii="Verdana" w:eastAsia="Times New Roman" w:hAnsi="Verdana" w:cs="Times New Roman"/>
                      <w:sz w:val="24"/>
                      <w:szCs w:val="24"/>
                      <w:lang w:val="en-US"/>
                    </w:rPr>
                  </w:pPr>
                  <w:r w:rsidRPr="00CD42E9">
                    <w:rPr>
                      <w:rFonts w:ascii="Verdana" w:eastAsia="Times New Roman" w:hAnsi="Verdana" w:cs="Times New Roman"/>
                      <w:sz w:val="24"/>
                      <w:szCs w:val="24"/>
                      <w:lang w:val="en-US"/>
                    </w:rPr>
                    <w:t> </w:t>
                  </w:r>
                </w:p>
              </w:tc>
            </w:tr>
            <w:tr w:rsidR="00CD42E9" w:rsidRPr="00CD42E9" w:rsidTr="00CD42E9">
              <w:trPr>
                <w:tblCellSpacing w:w="0" w:type="dxa"/>
                <w:jc w:val="center"/>
              </w:trPr>
              <w:tc>
                <w:tcPr>
                  <w:tcW w:w="0" w:type="auto"/>
                  <w:vAlign w:val="center"/>
                  <w:hideMark/>
                </w:tcPr>
                <w:p w:rsidR="00CD42E9" w:rsidRPr="00CD42E9" w:rsidRDefault="00CD42E9" w:rsidP="00CD42E9">
                  <w:pPr>
                    <w:spacing w:after="0" w:line="240" w:lineRule="auto"/>
                    <w:rPr>
                      <w:rFonts w:ascii="Verdana" w:eastAsia="Times New Roman" w:hAnsi="Verdana" w:cs="Times New Roman"/>
                      <w:sz w:val="24"/>
                      <w:szCs w:val="24"/>
                    </w:rPr>
                  </w:pPr>
                  <w:r>
                    <w:rPr>
                      <w:noProof/>
                    </w:rPr>
                    <mc:AlternateContent>
                      <mc:Choice Requires="wps">
                        <w:drawing>
                          <wp:inline distT="0" distB="0" distL="0" distR="0">
                            <wp:extent cx="308610" cy="308610"/>
                            <wp:effectExtent l="0" t="0" r="0" b="0"/>
                            <wp:docPr id="5" name="AutoShape 5" descr="https://outlook.live.com/mail/in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outlook.live.com/mail/inbox"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" filled="f" stroked="f">
                            <o:lock v:ext="edit" aspectratio="t"/>
                            <w10:anchorlock/>
                          </v:rect>
                        </w:pict>
                      </mc:Fallback>
                    </mc:AlternateContent>
                  </w:r>
                </w:p>
              </w:tc>
            </w:tr>
            <w:tr w:rsidR="00CD42E9" w:rsidRPr="00CD42E9" w:rsidTr="00CD42E9">
              <w:trPr>
                <w:tblCellSpacing w:w="0" w:type="dxa"/>
                <w:jc w:val="center"/>
              </w:trPr>
              <w:tc>
                <w:tcPr>
                  <w:tcW w:w="0" w:type="auto"/>
                  <w:shd w:val="clear" w:color="auto" w:fill="FFFFFF"/>
                  <w:tcMar>
                    <w:top w:w="0" w:type="dxa"/>
                    <w:left w:w="300" w:type="dxa"/>
                    <w:bottom w:w="0" w:type="dxa"/>
                    <w:right w:w="300" w:type="dxa"/>
                  </w:tcMar>
                  <w:vAlign w:val="center"/>
                  <w:hideMark/>
                </w:tcPr>
                <w:tbl>
                  <w:tblPr>
                    <w:tblW w:w="8400" w:type="dxa"/>
                    <w:tblCellSpacing w:w="0" w:type="dxa"/>
                    <w:tblBorders>
                      <w:bottom w:val="single" w:sz="6" w:space="0" w:color="999966"/>
                    </w:tblBorders>
                    <w:tblCellMar>
                      <w:left w:w="0" w:type="dxa"/>
                      <w:right w:w="0" w:type="dxa"/>
                    </w:tblCellMar>
                    <w:tblLook w:val="04A0" w:firstRow="1" w:lastRow="0" w:firstColumn="1" w:lastColumn="0" w:noHBand="0" w:noVBand="1"/>
                  </w:tblPr>
                  <w:tblGrid>
                    <w:gridCol w:w="4917"/>
                    <w:gridCol w:w="3483"/>
                  </w:tblGrid>
                  <w:tr w:rsidR="00CD42E9" w:rsidRPr="00CD42E9">
                    <w:trPr>
                      <w:tblCellSpacing w:w="0" w:type="dxa"/>
                    </w:trPr>
                    <w:tc>
                      <w:tcPr>
                        <w:tcW w:w="4920" w:type="dxa"/>
                        <w:shd w:val="clear" w:color="auto" w:fill="44B3E8"/>
                        <w:tcMar>
                          <w:top w:w="600" w:type="dxa"/>
                          <w:left w:w="0" w:type="dxa"/>
                          <w:bottom w:w="0" w:type="dxa"/>
                          <w:right w:w="0" w:type="dxa"/>
                        </w:tcMar>
                        <w:hideMark/>
                      </w:tcPr>
                      <w:p w:rsidR="00CD42E9" w:rsidRPr="00CD42E9" w:rsidRDefault="00CD42E9" w:rsidP="00CD42E9">
                        <w:pPr>
                          <w:spacing w:after="0" w:line="360" w:lineRule="atLeast"/>
                          <w:outlineLvl w:val="0"/>
                          <w:rPr>
                            <w:rFonts w:ascii="Arial" w:eastAsia="Times New Roman" w:hAnsi="Arial" w:cs="Arial"/>
                            <w:b/>
                            <w:bCs/>
                            <w:color w:val="0D395C"/>
                            <w:spacing w:val="-30"/>
                            <w:kern w:val="36"/>
                            <w:sz w:val="54"/>
                            <w:szCs w:val="54"/>
                          </w:rPr>
                        </w:pPr>
                        <w:r w:rsidRPr="00CD42E9">
                          <w:rPr>
                            <w:rFonts w:ascii="Arial" w:eastAsia="Times New Roman" w:hAnsi="Arial" w:cs="Arial"/>
                            <w:b/>
                            <w:bCs/>
                            <w:color w:val="0D395C"/>
                            <w:spacing w:val="-30"/>
                            <w:kern w:val="36"/>
                            <w:sz w:val="54"/>
                            <w:szCs w:val="54"/>
                          </w:rPr>
                          <w:t>ΕΝΙ - ΕΟΠΥΥ</w:t>
                        </w:r>
                      </w:p>
                      <w:p w:rsidR="00CD42E9" w:rsidRPr="00CD42E9" w:rsidRDefault="00CD42E9" w:rsidP="00CD42E9">
                        <w:pPr>
                          <w:spacing w:after="0" w:line="240" w:lineRule="auto"/>
                          <w:rPr>
                            <w:rFonts w:ascii="Times New Roman" w:eastAsia="Times New Roman" w:hAnsi="Times New Roman" w:cs="Times New Roman"/>
                            <w:color w:val="0E3A5D"/>
                            <w:sz w:val="24"/>
                            <w:szCs w:val="24"/>
                          </w:rPr>
                        </w:pPr>
                        <w:r w:rsidRPr="00CD42E9">
                          <w:rPr>
                            <w:rFonts w:ascii="Verdana" w:eastAsia="Times New Roman" w:hAnsi="Verdana" w:cs="Times New Roman"/>
                            <w:b/>
                            <w:bCs/>
                            <w:color w:val="000000"/>
                            <w:sz w:val="21"/>
                            <w:szCs w:val="21"/>
                          </w:rPr>
                          <w:t>ΕΝΩΣΗ ΙΑΤΡΩΝ Ε.Ο.Π.Υ.Υ.</w:t>
                        </w:r>
                      </w:p>
                    </w:tc>
                    <w:tc>
                      <w:tcPr>
                        <w:tcW w:w="3480" w:type="dxa"/>
                        <w:hideMark/>
                      </w:tcPr>
                      <w:p w:rsidR="00CD42E9" w:rsidRPr="00CD42E9" w:rsidRDefault="00CD42E9" w:rsidP="00CD42E9">
                        <w:pPr>
                          <w:spacing w:after="0"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noProof/>
                            <w:sz w:val="24"/>
                            <w:szCs w:val="24"/>
                          </w:rPr>
                          <w:drawing>
                            <wp:inline distT="0" distB="0" distL="0" distR="0" wp14:anchorId="104AD165" wp14:editId="214FBE26">
                              <wp:extent cx="2211705" cy="967740"/>
                              <wp:effectExtent l="0" t="0" r="0" b="3810"/>
                              <wp:docPr id="1" name="Εικόνα 6" descr="https://enieopyy.files.wordpress.com/2015/12/eopyy-giatroi.jpg?w=460&amp;h=260&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ieopyy.files.wordpress.com/2015/12/eopyy-giatroi.jpg?w=460&amp;h=260&amp;crop=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705" cy="967740"/>
                                      </a:xfrm>
                                      <a:prstGeom prst="rect">
                                        <a:avLst/>
                                      </a:prstGeom>
                                      <a:noFill/>
                                      <a:ln>
                                        <a:noFill/>
                                      </a:ln>
                                    </pic:spPr>
                                  </pic:pic>
                                </a:graphicData>
                              </a:graphic>
                            </wp:inline>
                          </w:drawing>
                        </w:r>
                      </w:p>
                    </w:tc>
                  </w:tr>
                </w:tbl>
                <w:p w:rsidR="00CD42E9" w:rsidRPr="00CD42E9" w:rsidRDefault="00CD42E9" w:rsidP="00CD42E9">
                  <w:pPr>
                    <w:spacing w:after="0" w:line="240" w:lineRule="auto"/>
                    <w:rPr>
                      <w:rFonts w:ascii="Verdana" w:eastAsia="Times New Roman" w:hAnsi="Verdana" w:cs="Times New Roman"/>
                      <w:sz w:val="24"/>
                      <w:szCs w:val="24"/>
                    </w:rPr>
                  </w:pPr>
                </w:p>
              </w:tc>
            </w:tr>
            <w:tr w:rsidR="00CD42E9" w:rsidRPr="00CD42E9" w:rsidTr="00CD42E9">
              <w:trPr>
                <w:tblCellSpacing w:w="0" w:type="dxa"/>
                <w:jc w:val="center"/>
              </w:trPr>
              <w:tc>
                <w:tcPr>
                  <w:tcW w:w="0" w:type="auto"/>
                  <w:shd w:val="clear" w:color="auto" w:fill="FFFFFF"/>
                  <w:tcMar>
                    <w:top w:w="300" w:type="dxa"/>
                    <w:left w:w="300" w:type="dxa"/>
                    <w:bottom w:w="300" w:type="dxa"/>
                    <w:right w:w="300" w:type="dxa"/>
                  </w:tcMar>
                  <w:vAlign w:val="center"/>
                  <w:hideMark/>
                </w:tcPr>
                <w:p w:rsidR="00CD42E9" w:rsidRPr="00CD42E9" w:rsidRDefault="00CD42E9" w:rsidP="00CD42E9">
                  <w:pPr>
                    <w:spacing w:after="0" w:line="420" w:lineRule="atLeast"/>
                    <w:textAlignment w:val="baseline"/>
                    <w:outlineLvl w:val="1"/>
                    <w:rPr>
                      <w:rFonts w:ascii="Arial" w:eastAsia="Times New Roman" w:hAnsi="Arial" w:cs="Arial"/>
                      <w:i/>
                      <w:iCs/>
                      <w:color w:val="404040"/>
                      <w:sz w:val="30"/>
                      <w:szCs w:val="30"/>
                    </w:rPr>
                  </w:pPr>
                  <w:r w:rsidRPr="00CD42E9">
                    <w:rPr>
                      <w:rFonts w:ascii="inherit" w:eastAsia="Times New Roman" w:hAnsi="inherit" w:cs="Arial"/>
                      <w:b/>
                      <w:bCs/>
                      <w:i/>
                      <w:iCs/>
                      <w:color w:val="404040"/>
                      <w:sz w:val="30"/>
                      <w:szCs w:val="30"/>
                      <w:bdr w:val="none" w:sz="0" w:space="0" w:color="auto" w:frame="1"/>
                    </w:rPr>
                    <w:t>ΔΕΛΤΙΟ ΤΥΠΟΥ ΕΝΙ-ΕΟΠΥΥ 7/12/2021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6"/>
                    <w:gridCol w:w="2700"/>
                  </w:tblGrid>
                  <w:tr w:rsidR="00CD42E9" w:rsidRPr="00CD42E9">
                    <w:trPr>
                      <w:tblCellSpacing w:w="0" w:type="dxa"/>
                    </w:trPr>
                    <w:tc>
                      <w:tcPr>
                        <w:tcW w:w="0" w:type="auto"/>
                        <w:shd w:val="clear" w:color="auto" w:fill="FFFFFF"/>
                        <w:tcMar>
                          <w:top w:w="0" w:type="dxa"/>
                          <w:left w:w="0" w:type="dxa"/>
                          <w:bottom w:w="0" w:type="dxa"/>
                          <w:right w:w="300" w:type="dxa"/>
                        </w:tcMar>
                        <w:hideMark/>
                      </w:tcPr>
                      <w:p w:rsidR="00CD42E9" w:rsidRPr="00CD42E9" w:rsidRDefault="00CD42E9" w:rsidP="00CD42E9">
                        <w:pPr>
                          <w:spacing w:beforeAutospacing="1" w:after="0" w:afterAutospacing="1" w:line="336" w:lineRule="atLeast"/>
                          <w:rPr>
                            <w:rFonts w:ascii="Verdana" w:eastAsia="Times New Roman" w:hAnsi="Verdana" w:cs="Times New Roman"/>
                            <w:color w:val="333333"/>
                            <w:sz w:val="18"/>
                            <w:szCs w:val="18"/>
                          </w:rPr>
                        </w:pPr>
                        <w:hyperlink r:id="rId9" w:tgtFrame="_blank" w:history="1">
                          <w:r w:rsidRPr="00CD42E9">
                            <w:rPr>
                              <w:rFonts w:ascii="Verdana" w:eastAsia="Times New Roman" w:hAnsi="Verdana" w:cs="Times New Roman"/>
                              <w:noProof/>
                              <w:color w:val="333333"/>
                              <w:sz w:val="18"/>
                              <w:szCs w:val="18"/>
                            </w:rPr>
                            <w:drawing>
                              <wp:anchor distT="0" distB="0" distL="0" distR="0" simplePos="0" relativeHeight="251659264" behindDoc="0" locked="0" layoutInCell="1" allowOverlap="0" wp14:anchorId="1C5F26FD" wp14:editId="0967834B">
                                <wp:simplePos x="0" y="0"/>
                                <wp:positionH relativeFrom="column">
                                  <wp:align>left</wp:align>
                                </wp:positionH>
                                <wp:positionV relativeFrom="line">
                                  <wp:posOffset>0</wp:posOffset>
                                </wp:positionV>
                                <wp:extent cx="1428750" cy="1428750"/>
                                <wp:effectExtent l="0" t="0" r="0" b="0"/>
                                <wp:wrapSquare wrapText="bothSides"/>
                                <wp:docPr id="2" name="x_de_element_image" descr="https://enieopyy.files.wordpress.com/2015/11/enieoppy1.jpg?w=150&amp;h=150">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de_element_image" descr="https://enieopyy.files.wordpress.com/2015/11/enieoppy1.jpg?w=150&amp;h=150">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CD42E9" w:rsidRPr="00CD42E9" w:rsidRDefault="00CD42E9" w:rsidP="00CD42E9">
                        <w:pPr>
                          <w:spacing w:before="100" w:beforeAutospacing="1" w:after="100" w:afterAutospacing="1" w:line="336" w:lineRule="atLeast"/>
                          <w:rPr>
                            <w:rFonts w:ascii="Verdana" w:eastAsia="Times New Roman" w:hAnsi="Verdana" w:cs="Times New Roman"/>
                            <w:color w:val="333333"/>
                            <w:sz w:val="18"/>
                            <w:szCs w:val="18"/>
                          </w:rPr>
                        </w:pPr>
                        <w:r w:rsidRPr="00CD42E9">
                          <w:rPr>
                            <w:rFonts w:ascii="Verdana" w:eastAsia="Times New Roman" w:hAnsi="Verdana" w:cs="Times New Roman"/>
                            <w:color w:val="333333"/>
                            <w:sz w:val="18"/>
                            <w:szCs w:val="18"/>
                          </w:rPr>
                          <w:t> </w:t>
                        </w:r>
                      </w:p>
                      <w:p w:rsidR="00CD42E9" w:rsidRPr="00CD42E9" w:rsidRDefault="00CD42E9" w:rsidP="00CD42E9">
                        <w:pPr>
                          <w:spacing w:before="100" w:beforeAutospacing="1" w:after="100" w:afterAutospacing="1" w:line="336" w:lineRule="atLeast"/>
                          <w:rPr>
                            <w:rFonts w:ascii="Verdana" w:eastAsia="Times New Roman" w:hAnsi="Verdana" w:cs="Times New Roman"/>
                            <w:color w:val="333333"/>
                            <w:sz w:val="18"/>
                            <w:szCs w:val="18"/>
                          </w:rPr>
                        </w:pPr>
                        <w:r w:rsidRPr="00CD42E9">
                          <w:rPr>
                            <w:rFonts w:ascii="Verdana" w:eastAsia="Times New Roman" w:hAnsi="Verdana" w:cs="Times New Roman"/>
                            <w:color w:val="333333"/>
                            <w:sz w:val="18"/>
                            <w:szCs w:val="18"/>
                          </w:rPr>
                          <w:t> </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Την Παρασκευή 03.12.2021 πραγματοποιήθηκε διαδικτυακή συνάντηση της διοίκησης της ΕΝΙ-ΕΟΠΥΥ με τον Υπουργό Υγείας κ Πλεύρη.</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Κατά τη διάρκεια της πανδημίας, οι συμβεβλημένοι ιατροί του ΕΟΠΥΥ στάθηκαν κοντά στην κοινωνία, εξυπηρετώντας τα περιστατικά COVID-19 στην κοινότητα και τους χρόνιους non-COVID-19 πάσχοντες. </w:t>
                        </w:r>
                        <w:r w:rsidRPr="00CD42E9">
                          <w:rPr>
                            <w:rFonts w:ascii="Times New Roman" w:eastAsia="Times New Roman" w:hAnsi="Times New Roman" w:cs="Times New Roman"/>
                            <w:b/>
                            <w:bCs/>
                            <w:sz w:val="24"/>
                            <w:szCs w:val="24"/>
                          </w:rPr>
                          <w:t>Ειδικά κατά τη διάρκεια των lockdowns, το ιατρείο και εργαστήριο της γειτονιάς αποτέλεσαν κυρίαρχο πυλώνα δημόσιας υγείας.</w:t>
                        </w:r>
                        <w:r w:rsidRPr="00CD42E9">
                          <w:rPr>
                            <w:rFonts w:ascii="Times New Roman" w:eastAsia="Times New Roman" w:hAnsi="Times New Roman" w:cs="Times New Roman"/>
                            <w:sz w:val="24"/>
                            <w:szCs w:val="24"/>
                          </w:rPr>
                          <w:t xml:space="preserve"> Τονίστηκε η ανάγκη ενίσχυσης και στήριξης της δημόσιας ΠΦΥ, με αξιοποίηση του ανθρώπινου δυναμικού και προκήρυξη νέων συμβάσεων εκεί όπου υπάρχουν πάγιες και διαρκείς ανάγκες, ειδικά με πρόσκληση ενδιαφέροντος προς νέους ιατρούς, με αναβάθμιση της αποζημίωσης.Εκ μέρους της διοίκησης της ΕΝΙ-ΕΟΠΥΥ πραγματοποιήθηκαν οι ακόλουθες </w:t>
                        </w:r>
                        <w:r w:rsidRPr="00CD42E9">
                          <w:rPr>
                            <w:rFonts w:ascii="Times New Roman" w:eastAsia="Times New Roman" w:hAnsi="Times New Roman" w:cs="Times New Roman"/>
                            <w:sz w:val="24"/>
                            <w:szCs w:val="24"/>
                          </w:rPr>
                          <w:lastRenderedPageBreak/>
                          <w:t>επισημάνσεις:</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Η διαχείριση της πανδημίας μπορεί να είχε καλύτερο αποτέλεσμα εάν είχε δοθεί από την αρχή, δικαίωμα στους κλινικούς ιατρούς να κλείνουν τα ραντεβού για το εμβόλιο και να έχουν τη δυνατότητα της διενέργειας rapid test.</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Η επιστράτευση υπηρεσιών υγείας συμβεβλημένων ιατρών δημιούργησε μεγάλο πλήγμα στη λειτουργία των ιατρείων και στην εξυπηρέτηση των ασφαλισμένων,</w:t>
                        </w:r>
                        <w:r w:rsidRPr="00CD42E9">
                          <w:rPr>
                            <w:rFonts w:ascii="Times New Roman" w:eastAsia="Times New Roman" w:hAnsi="Times New Roman" w:cs="Times New Roman"/>
                            <w:sz w:val="24"/>
                            <w:szCs w:val="24"/>
                          </w:rPr>
                          <w:t> με απώλεια συμβάσεων των ιατρών αυτών με φορείς ΠΦΥ (κλειστές δομές, γηροκομεία) ή δευτεροβάθμιας περίθαλψης. Οι πρώην επιστρατευμένοι ιατροί κάνουν τεράστια προσπάθεια ακόμα και σήμερα να σταθούν όρθιοι, καθώς πολλοί εξ’αυτών είναι απλήρωτοι για τις υπηρεσίες τους στα νοσοκομεία και με τις τρέχουσες υποχρεώσεις τους να τρέχουν.  </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Το δυσθεώρητο clawback και τα συσσωρευμένα χρέη του διαγνωστικού κλάδου δεν είναι πλέον διαχειρίσιμα</w:t>
                        </w:r>
                        <w:r w:rsidRPr="00CD42E9">
                          <w:rPr>
                            <w:rFonts w:ascii="Times New Roman" w:eastAsia="Times New Roman" w:hAnsi="Times New Roman" w:cs="Times New Roman"/>
                            <w:sz w:val="24"/>
                            <w:szCs w:val="24"/>
                          </w:rPr>
                          <w:t xml:space="preserve"> από δομές ΠΦΥ στις οποίες «φορτώθηκε» ένα σημαντικό μέρος του κόστους της πανδημίας από τον ΕΟΠΥΥ, λόγω της μετακίνησης του πληθυσμού από τα νοσοκομεία και κέντρα υγείας προς τον ιδιωτικό τομέα. Επιτακτική είναι η ανάγκη κατάργησης του clawback, με ευνοϊκότερη ρύθμιση του συσσωρευμένου χρέους για τα μικρά εργαστήρια, με ύπαρξη ρεαλιστικών προϋπολογισμών και ενός σοβαρού πλαισίου αναδιάρθρωσης του κλειστού προϋπολογισμού εκ θεμελίων. Ζητήθηκε η δυνατότητα τροποποίησης των φορολογικών δηλώσεων εισοδήματος του 2020, με ένταξη του σημειώματος clawback του Β΄εξαμήνου, χωρίς πρόστιμο.</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Τονίσθηκε ότι η διενέργεια rapid test</w:t>
                        </w:r>
                        <w:r w:rsidRPr="00CD42E9">
                          <w:rPr>
                            <w:rFonts w:ascii="Times New Roman" w:eastAsia="Times New Roman" w:hAnsi="Times New Roman" w:cs="Times New Roman"/>
                            <w:sz w:val="24"/>
                            <w:szCs w:val="24"/>
                          </w:rPr>
                          <w:t> </w:t>
                        </w:r>
                        <w:r w:rsidRPr="00CD42E9">
                          <w:rPr>
                            <w:rFonts w:ascii="Times New Roman" w:eastAsia="Times New Roman" w:hAnsi="Times New Roman" w:cs="Times New Roman"/>
                            <w:b/>
                            <w:bCs/>
                            <w:sz w:val="24"/>
                            <w:szCs w:val="24"/>
                          </w:rPr>
                          <w:t>είναι ιατρική πράξη με ειδική τεχνική λήψης</w:t>
                        </w:r>
                        <w:r w:rsidRPr="00CD42E9">
                          <w:rPr>
                            <w:rFonts w:ascii="Times New Roman" w:eastAsia="Times New Roman" w:hAnsi="Times New Roman" w:cs="Times New Roman"/>
                            <w:sz w:val="24"/>
                            <w:szCs w:val="24"/>
                          </w:rPr>
                          <w:t xml:space="preserve"> και πρέπει να διέπεται από προδιαγραφές βιοασφάλειας, απολύμανσης, αποφυγής συνωστισμών και διαχείρισης μολυσματικών αποβλήτων. Η αξιοπιστία των αποτελεσμάτων </w:t>
                        </w:r>
                        <w:r w:rsidRPr="00CD42E9">
                          <w:rPr>
                            <w:rFonts w:ascii="Times New Roman" w:eastAsia="Times New Roman" w:hAnsi="Times New Roman" w:cs="Times New Roman"/>
                            <w:sz w:val="24"/>
                            <w:szCs w:val="24"/>
                          </w:rPr>
                          <w:lastRenderedPageBreak/>
                          <w:t xml:space="preserve">εξαρτάται από τη διαδικασία λήψης, από την εκπαίδευση του προσωπικού και από την αξιοπιστία του τεστ. </w:t>
                        </w:r>
                        <w:r w:rsidRPr="00CD42E9">
                          <w:rPr>
                            <w:rFonts w:ascii="Times New Roman" w:eastAsia="Times New Roman" w:hAnsi="Times New Roman" w:cs="Times New Roman"/>
                            <w:b/>
                            <w:bCs/>
                            <w:sz w:val="24"/>
                            <w:szCs w:val="24"/>
                          </w:rPr>
                          <w:t>Επισημαίνεται ότι ψευδώς αρνητικά τεστ αποτελούν δυνητικό κίνδυνο δημόσιας υγείας.</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Τα ποιοτικά κριτήρια δεν θα πρέπει να συνδέονται αποκλειστικά με το είδος του ιατρικού μηχανήματος αλλά οφείλει η πολιτεία να βρει τρόπους αντικειμενικής αξιολόγησης του ιατρικού έργου, της επιστημονικής κατάρτισης και της ποιότητας εξυπηρέτησης των ασφαλισμένων.</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Οι Έλληνες Ιατροί είναι οι χειρότερα αμειβόμενοι ιατροί στην Ευρώπη</w:t>
                        </w:r>
                        <w:r w:rsidRPr="00CD42E9">
                          <w:rPr>
                            <w:rFonts w:ascii="Times New Roman" w:eastAsia="Times New Roman" w:hAnsi="Times New Roman" w:cs="Times New Roman"/>
                            <w:sz w:val="24"/>
                            <w:szCs w:val="24"/>
                          </w:rPr>
                          <w:t>, μεταναστεύουν στο εξωτερικό με πολλαπλάσιες αμοιβές, χτίζοντας τα συστήματα υγείας άλλων χωρών.</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Ο θεσμός του οικογενειακού ιατρού έχει βαλτώσει και μετά την επιστράτευση υπάρχουν αρκετές καταγγελίες συμβάσεων με τον ΕΟΠΥΥ.</w:t>
                        </w:r>
                        <w:r w:rsidRPr="00CD42E9">
                          <w:rPr>
                            <w:rFonts w:ascii="Times New Roman" w:eastAsia="Times New Roman" w:hAnsi="Times New Roman" w:cs="Times New Roman"/>
                            <w:sz w:val="24"/>
                            <w:szCs w:val="24"/>
                          </w:rPr>
                          <w:t xml:space="preserve"> Επίσης παρά πολλές συμβάσεις είναι στην ουσία ανενεργές, καθώς συνάδελφοι δεν κάνουν χρήση της σύμβασης.</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Ο ελεγκτικός μηχανισμός του ΕΟΠΥΥ</w:t>
                        </w:r>
                        <w:r w:rsidRPr="00CD42E9">
                          <w:rPr>
                            <w:rFonts w:ascii="Times New Roman" w:eastAsia="Times New Roman" w:hAnsi="Times New Roman" w:cs="Times New Roman"/>
                            <w:sz w:val="24"/>
                            <w:szCs w:val="24"/>
                          </w:rPr>
                          <w:t> </w:t>
                        </w:r>
                        <w:r w:rsidRPr="00CD42E9">
                          <w:rPr>
                            <w:rFonts w:ascii="Times New Roman" w:eastAsia="Times New Roman" w:hAnsi="Times New Roman" w:cs="Times New Roman"/>
                            <w:b/>
                            <w:bCs/>
                            <w:sz w:val="24"/>
                            <w:szCs w:val="24"/>
                          </w:rPr>
                          <w:t>πρέπει να αναβαθμιστεί</w:t>
                        </w:r>
                        <w:r w:rsidRPr="00CD42E9">
                          <w:rPr>
                            <w:rFonts w:ascii="Times New Roman" w:eastAsia="Times New Roman" w:hAnsi="Times New Roman" w:cs="Times New Roman"/>
                            <w:sz w:val="24"/>
                            <w:szCs w:val="24"/>
                          </w:rPr>
                          <w:t xml:space="preserve"> με real time έλεγχο, ταυτοποίηση του ΑΜΚΑ του ασθενούς και λειτουργικό πλαίσιο εξορθολογισμού της συνταγογράφησης και βελτίωσης του συστήματος ηλεκτρονικής συνταγογράφησης. Ο στατιστικός έλεγχος του 10% με επιβολή δυσανάλογων περικοπών πρέπει να καταργηθεί.</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Τέλος, εκφράστηκε η </w:t>
                        </w:r>
                        <w:r w:rsidRPr="00CD42E9">
                          <w:rPr>
                            <w:rFonts w:ascii="Times New Roman" w:eastAsia="Times New Roman" w:hAnsi="Times New Roman" w:cs="Times New Roman"/>
                            <w:b/>
                            <w:bCs/>
                            <w:sz w:val="24"/>
                            <w:szCs w:val="24"/>
                          </w:rPr>
                          <w:t>ομόφωνη διαφωνία της ΕΝΙ-ΕΟΠΥΥ</w:t>
                        </w:r>
                        <w:r w:rsidRPr="00CD42E9">
                          <w:rPr>
                            <w:rFonts w:ascii="Times New Roman" w:eastAsia="Times New Roman" w:hAnsi="Times New Roman" w:cs="Times New Roman"/>
                            <w:sz w:val="24"/>
                            <w:szCs w:val="24"/>
                          </w:rPr>
                          <w:t> με την </w:t>
                        </w:r>
                        <w:r w:rsidRPr="00CD42E9">
                          <w:rPr>
                            <w:rFonts w:ascii="Times New Roman" w:eastAsia="Times New Roman" w:hAnsi="Times New Roman" w:cs="Times New Roman"/>
                            <w:b/>
                            <w:bCs/>
                            <w:sz w:val="24"/>
                            <w:szCs w:val="24"/>
                          </w:rPr>
                          <w:t>κατάργηση του δικαιώματος των ανασφάλιστων πολιτών να εξυπηρετούνται από τον ιδιωτικό τομέα.</w:t>
                        </w:r>
                        <w:r w:rsidRPr="00CD42E9">
                          <w:rPr>
                            <w:rFonts w:ascii="Times New Roman" w:eastAsia="Times New Roman" w:hAnsi="Times New Roman" w:cs="Times New Roman"/>
                            <w:sz w:val="24"/>
                            <w:szCs w:val="24"/>
                          </w:rPr>
                          <w:t> Το δικαίωμα της ισότιμης πρόσβασης των πολιτών στην παροχή ιατρικών υπηρεσιών είναι θεμελιώδης, όπως νομικά κατοχυρωμένη είναι και η ισοτιμία της ιατρικής υπογραφής. </w:t>
                        </w:r>
                        <w:r w:rsidRPr="00CD42E9">
                          <w:rPr>
                            <w:rFonts w:ascii="Times New Roman" w:eastAsia="Times New Roman" w:hAnsi="Times New Roman" w:cs="Times New Roman"/>
                            <w:b/>
                            <w:bCs/>
                            <w:sz w:val="24"/>
                            <w:szCs w:val="24"/>
                          </w:rPr>
                          <w:t xml:space="preserve">Τα εμπόδια πρόσβασης θα επιφέρουν μεγάλη ταλαιπωρία στους ανασφάλιστους και πιθανή αύξηση της νοσηρότητας, καθώς σε πολλά </w:t>
                        </w:r>
                        <w:r w:rsidRPr="00CD42E9">
                          <w:rPr>
                            <w:rFonts w:ascii="Times New Roman" w:eastAsia="Times New Roman" w:hAnsi="Times New Roman" w:cs="Times New Roman"/>
                            <w:b/>
                            <w:bCs/>
                            <w:sz w:val="24"/>
                            <w:szCs w:val="24"/>
                          </w:rPr>
                          <w:lastRenderedPageBreak/>
                          <w:t>κέντρα υγείας δεν υπάρχουν αρκετές ειδικότητες που να καλύπτουν όλο το εύρος της συνταγογράφησης.</w:t>
                        </w:r>
                        <w:r w:rsidRPr="00CD42E9">
                          <w:rPr>
                            <w:rFonts w:ascii="Times New Roman" w:eastAsia="Times New Roman" w:hAnsi="Times New Roman" w:cs="Times New Roman"/>
                            <w:sz w:val="24"/>
                            <w:szCs w:val="24"/>
                          </w:rPr>
                          <w:t> </w:t>
                        </w:r>
                        <w:r w:rsidRPr="00CD42E9">
                          <w:rPr>
                            <w:rFonts w:ascii="Times New Roman" w:eastAsia="Times New Roman" w:hAnsi="Times New Roman" w:cs="Times New Roman"/>
                            <w:b/>
                            <w:bCs/>
                            <w:sz w:val="24"/>
                            <w:szCs w:val="24"/>
                          </w:rPr>
                          <w:t>Επικίνδυνη και ανέφικτη είναι η πρόσβαση των ανασφάλιστων στα νοσοκομεία, που έχουν πολύ μεγάλο φόρτο εργασίας λόγω της νοσηρότητας COVID.</w:t>
                        </w:r>
                        <w:r w:rsidRPr="00CD42E9">
                          <w:rPr>
                            <w:rFonts w:ascii="Times New Roman" w:eastAsia="Times New Roman" w:hAnsi="Times New Roman" w:cs="Times New Roman"/>
                            <w:sz w:val="24"/>
                            <w:szCs w:val="24"/>
                          </w:rPr>
                          <w:t> Για πολλούς συνανθρώπους δεν θα εφικτός ο εμβολιασμός, ειδικά των παιδιών, δεν θα εφικτή η εξυπηρέτηση των εκτάκτων ή επειγόντων περιστατικών, η χορήγηση αντιβιοτικών ή αγχολυτικών φαρμάκων για τα περιστατικά της κοινότητας. Θα δημιουργηθεί μεγάλη αναστάτωση στην εξυπηρέτηση των χρόνιων πασχόντων (νεφροπαθών, καρκινοπαθών, καρδιοπαθών, πνευμοπαθών, κλπ) που πολλές φορές έχουν ανάγκη να εξυπηρετηθούν κοντά στον τόπο κατοικίας τους.</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Ο Υπουργός Υγείας</w:t>
                        </w:r>
                        <w:r w:rsidRPr="00CD42E9">
                          <w:rPr>
                            <w:rFonts w:ascii="Times New Roman" w:eastAsia="Times New Roman" w:hAnsi="Times New Roman" w:cs="Times New Roman"/>
                            <w:sz w:val="24"/>
                            <w:szCs w:val="24"/>
                          </w:rPr>
                          <w:t> τοποθετήθηκε επί της ανάγκης ενίσχυσης της ΠΦΥ με ευρείες συνεργασίες με τις κρατικές δομές, με προσανατολισμό τον εκσυγχρονισμό ανάλογα με επιτυχημένα πρότυπα άλλων χωρών. Δήλωσε ότι η χώρα έχει δεσμεύσεις ολοκλήρωσης ενός οργανωμένου συστήματος ΠΦΥ με gatekeeping (φραγμό παραπομπής) προς τα Νοσοκομεία. Εξέφρασε την άποψη ότι ο ιδιωτικός τομέας είναι σημαντικός πυλώνας ΠΦΥ και ότι τα ποιοτικά χαρακτηριστικά προς το παρόν θα εφαρμοστούν στην αξιολόγηση των ακτινοδιαγνωστικών μονάδων και ότι στη συνέχεια θα υπάρξει διαβούλευση για όλες τις άλλες ειδικότητες. Θεωρεί ότι πρέπει να υπάρχει διαβάθμιση στην τιμή της επίσκεψης ανάλογα με το παρεχόμενο έργο (συνταγογράφηση, κλινική εξέταση, κλπ) και δηλώνει θετικός στην άποψη στην αναβάθμιση της αποζημίωσης που θα ελέγχεται με ποιοτικά χαρακτηριστικά.</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Σχετικά με το clawback, δήλωσε ότι είναι αντίθετος με το μέτρο καθώς ήταν ένα προσωρινό μέτρο περιστολής της δαπάνης. Στη συνέχεια όμως, αποτέλεσε ένα εργαλείο κοινωνικής πολιτικής με την προσθήκη παροχών χωρίς προϋπολογισμό. </w:t>
                        </w:r>
                        <w:r w:rsidRPr="00CD42E9">
                          <w:rPr>
                            <w:rFonts w:ascii="Times New Roman" w:eastAsia="Times New Roman" w:hAnsi="Times New Roman" w:cs="Times New Roman"/>
                            <w:b/>
                            <w:bCs/>
                            <w:sz w:val="24"/>
                            <w:szCs w:val="24"/>
                          </w:rPr>
                          <w:t xml:space="preserve">Ο ίδιος έδειξε την καλή του πρόθεση, ενισχύοντας τη </w:t>
                        </w:r>
                        <w:r w:rsidRPr="00CD42E9">
                          <w:rPr>
                            <w:rFonts w:ascii="Times New Roman" w:eastAsia="Times New Roman" w:hAnsi="Times New Roman" w:cs="Times New Roman"/>
                            <w:b/>
                            <w:bCs/>
                            <w:sz w:val="24"/>
                            <w:szCs w:val="24"/>
                          </w:rPr>
                          <w:lastRenderedPageBreak/>
                          <w:t>χρηματοδότηση του ΕΟΠΥΥ και είναι διατεθειμένος να προχωρήσει στον έλεγχο της δαπάνης, ακόμη και εάν προκύψει πολιτικό κόστος.</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Για λόγους απόλυτης τεκμηρίωσης του αποτελέσματος των rapid test, θεσπίστηκε η επισφράγιση του θετικού τεστ με μοριακό έλεγχο PCR.</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Δρομολογείται ο ψηφιακός real time έλεγχος σε συνεργασία με το Υπουργείο Ψηφιακής Διακυβέρνησης.</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Τέλος, ζητήθηκε η συνδρομή της ΕΝΙ-ΕΟΠΥΥ για τη διαμόρφωση προτάσεων για την αναδιάρθρωση της ΠΦΥ, της πλατφόρμας συνταγογράφησης και για την εξειδίκευση των εξαιρέσεων στην εξυπηρέτηση των ανασφάλιστων πολιτών αποκλειστικά από τους κρατικούς φορείς.</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Κατά τη διενέργεια της ΓΣ της ΕΝΙ-ΕΟΠΥΥ στις 05/12/2021, κατατέθηκε το ακόλουθο ψήφισμα:</w:t>
                        </w:r>
                      </w:p>
                      <w:p w:rsidR="00CD42E9" w:rsidRPr="00CD42E9" w:rsidRDefault="00CD42E9" w:rsidP="00CD4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Ενίσχυση της ΠΦΥ με θωράκιση της ιατρικής πράξης</w:t>
                        </w:r>
                        <w:r w:rsidRPr="00CD42E9">
                          <w:rPr>
                            <w:rFonts w:ascii="Times New Roman" w:eastAsia="Times New Roman" w:hAnsi="Times New Roman" w:cs="Times New Roman"/>
                            <w:sz w:val="24"/>
                            <w:szCs w:val="24"/>
                          </w:rPr>
                          <w:t xml:space="preserve"> και της σχέσης ιατρού – ασθενούς. Αναβάθμιση της ιατρικής αποζημίωσης της ιατρικής επίσκεψης και των εργαστηριακών / παρακλινικών εξετάσεων.</w:t>
                        </w:r>
                      </w:p>
                      <w:p w:rsidR="00CD42E9" w:rsidRPr="00CD42E9" w:rsidRDefault="00CD42E9" w:rsidP="00CD4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Άνοιγμα 800 θέσεων ειδικών ιατρών</w:t>
                        </w:r>
                        <w:r w:rsidRPr="00CD42E9">
                          <w:rPr>
                            <w:rFonts w:ascii="Times New Roman" w:eastAsia="Times New Roman" w:hAnsi="Times New Roman" w:cs="Times New Roman"/>
                            <w:sz w:val="24"/>
                            <w:szCs w:val="24"/>
                          </w:rPr>
                          <w:t xml:space="preserve"> πλην των ειδικοτήτων που εντάχθηκαν στο θεσμό του οικογενειακού ιατρού ανάλογα με τις ανάγκες της εκάστοτε περιοχής.</w:t>
                        </w:r>
                      </w:p>
                      <w:p w:rsidR="00CD42E9" w:rsidRPr="00CD42E9" w:rsidRDefault="00CD42E9" w:rsidP="00CD4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Αναγκαία παραπομπή (gate keeping) από ΠΦΥ προς τα Νοσοκομεία.</w:t>
                        </w:r>
                      </w:p>
                      <w:p w:rsidR="00CD42E9" w:rsidRPr="00CD42E9" w:rsidRDefault="00CD42E9" w:rsidP="00CD4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Δυνατότητα δημιουργίας</w:t>
                        </w:r>
                        <w:r w:rsidRPr="00CD42E9">
                          <w:rPr>
                            <w:rFonts w:ascii="Times New Roman" w:eastAsia="Times New Roman" w:hAnsi="Times New Roman" w:cs="Times New Roman"/>
                            <w:b/>
                            <w:bCs/>
                            <w:sz w:val="24"/>
                            <w:szCs w:val="24"/>
                          </w:rPr>
                          <w:t xml:space="preserve"> ιατρικού φακέλου από όλους τους ιατρούς.</w:t>
                        </w:r>
                      </w:p>
                      <w:p w:rsidR="00CD42E9" w:rsidRPr="00CD42E9" w:rsidRDefault="00CD42E9" w:rsidP="00CD4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Επαναφορά των συμβάσεων των παθολόγων, γενικών ιατρών και παιδιάτρων</w:t>
                        </w:r>
                        <w:r w:rsidRPr="00CD42E9">
                          <w:rPr>
                            <w:rFonts w:ascii="Times New Roman" w:eastAsia="Times New Roman" w:hAnsi="Times New Roman" w:cs="Times New Roman"/>
                            <w:sz w:val="24"/>
                            <w:szCs w:val="24"/>
                          </w:rPr>
                          <w:t xml:space="preserve"> με καθεστώς πληρωμής με κατά πράξη και περίπτωση αμοιβή.</w:t>
                        </w:r>
                      </w:p>
                      <w:p w:rsidR="00CD42E9" w:rsidRPr="00CD42E9" w:rsidRDefault="00CD42E9" w:rsidP="00CD4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Κατάργηση του clawback</w:t>
                        </w:r>
                        <w:r w:rsidRPr="00CD42E9">
                          <w:rPr>
                            <w:rFonts w:ascii="Times New Roman" w:eastAsia="Times New Roman" w:hAnsi="Times New Roman" w:cs="Times New Roman"/>
                            <w:sz w:val="24"/>
                            <w:szCs w:val="24"/>
                          </w:rPr>
                          <w:t xml:space="preserve"> με ρεαλιστικούς προϋπολογισμούς και real </w:t>
                        </w:r>
                        <w:r w:rsidRPr="00CD42E9">
                          <w:rPr>
                            <w:rFonts w:ascii="Times New Roman" w:eastAsia="Times New Roman" w:hAnsi="Times New Roman" w:cs="Times New Roman"/>
                            <w:sz w:val="24"/>
                            <w:szCs w:val="24"/>
                          </w:rPr>
                          <w:lastRenderedPageBreak/>
                          <w:t>time έλεγχο της συνταγογράφησης και αυτόματη ταυτοποίηση του ασθενούς μέσω κινητού (pin). Πλαφόν ανά ασθενή και ανά νομό.</w:t>
                        </w:r>
                      </w:p>
                      <w:p w:rsidR="00CD42E9" w:rsidRPr="00CD42E9" w:rsidRDefault="00CD42E9" w:rsidP="00CD4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Μείωση της γραφειοκρατίας και άρση της αυτόματης λήξης των θεραπευτικών πρωτοκόλλων.</w:t>
                        </w:r>
                      </w:p>
                      <w:p w:rsidR="00CD42E9" w:rsidRPr="00CD42E9" w:rsidRDefault="00CD42E9" w:rsidP="00CD4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Η αξιολόγηση με ποιοτικά κριτήρια πρέπει να εστιάζει στο επιστημονικό μοντέλο και όχι στο επιχειρηματικό μοντέλο.</w:t>
                        </w:r>
                      </w:p>
                      <w:p w:rsidR="00CD42E9" w:rsidRPr="00CD42E9" w:rsidRDefault="00CD42E9" w:rsidP="00CD4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b/>
                            <w:bCs/>
                            <w:sz w:val="24"/>
                            <w:szCs w:val="24"/>
                          </w:rPr>
                          <w:t>Ελεύθερη πρόσβαση του ιδιωτικού τομέα στη συνταγογράφηση των ανασφάλιστων πολιτών.</w:t>
                        </w:r>
                      </w:p>
                      <w:p w:rsidR="00CD42E9" w:rsidRPr="00CD42E9" w:rsidRDefault="00CD42E9" w:rsidP="00CD4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Ευελιξία στη διαχείριση των συμβάσεων (κατάργηση ανενεργών συμβάσεων, προσθήκη επισκέψεων ανάλογα με ανάγκες περιοχής, δικαίωμα επιλογής αριθμού επισκέψεων από τους ιατρούς κλπ).</w:t>
                        </w:r>
                      </w:p>
                      <w:p w:rsidR="00CD42E9" w:rsidRPr="00CD42E9" w:rsidRDefault="00CD42E9" w:rsidP="00CD42E9">
                        <w:pPr>
                          <w:spacing w:before="100" w:beforeAutospacing="1" w:after="100" w:afterAutospacing="1" w:line="240" w:lineRule="auto"/>
                          <w:rPr>
                            <w:rFonts w:ascii="Times New Roman" w:eastAsia="Times New Roman" w:hAnsi="Times New Roman" w:cs="Times New Roman"/>
                            <w:sz w:val="24"/>
                            <w:szCs w:val="24"/>
                          </w:rPr>
                        </w:pPr>
                        <w:r w:rsidRPr="00CD42E9">
                          <w:rPr>
                            <w:rFonts w:ascii="Times New Roman" w:eastAsia="Times New Roman" w:hAnsi="Times New Roman" w:cs="Times New Roman"/>
                            <w:sz w:val="24"/>
                            <w:szCs w:val="24"/>
                          </w:rPr>
                          <w:t>Θα κατατεθεί υπόμνημα της ΕΝΙ-ΕΟΠΥΥ σχετικά με την αναβάθμιση του συστήματος ηλεκτρονικής συνταγογράφησης, την παραμετροποίηση του και τους προτεινόμενους κανόνες λειτουργίας του ψηφιακού περιβάλλοντος.</w:t>
                        </w:r>
                      </w:p>
                      <w:p w:rsidR="00CD42E9" w:rsidRPr="00CD42E9" w:rsidRDefault="00CD42E9" w:rsidP="00CD42E9">
                        <w:pPr>
                          <w:spacing w:before="100" w:beforeAutospacing="1" w:after="100" w:afterAutospacing="1" w:line="336" w:lineRule="atLeast"/>
                          <w:rPr>
                            <w:rFonts w:ascii="Verdana" w:eastAsia="Times New Roman" w:hAnsi="Verdana" w:cs="Times New Roman"/>
                            <w:color w:val="333333"/>
                            <w:sz w:val="18"/>
                            <w:szCs w:val="18"/>
                          </w:rPr>
                        </w:pPr>
                        <w:r w:rsidRPr="00CD42E9">
                          <w:rPr>
                            <w:rFonts w:ascii="Verdana" w:eastAsia="Times New Roman" w:hAnsi="Verdana" w:cs="Times New Roman"/>
                            <w:color w:val="333333"/>
                            <w:sz w:val="18"/>
                            <w:szCs w:val="18"/>
                          </w:rPr>
                          <w:t> </w:t>
                        </w:r>
                      </w:p>
                      <w:p w:rsidR="00CD42E9" w:rsidRPr="00CD42E9" w:rsidRDefault="00CD42E9" w:rsidP="00CD42E9">
                        <w:pPr>
                          <w:spacing w:before="100" w:beforeAutospacing="1" w:after="100" w:afterAutospacing="1" w:line="336" w:lineRule="atLeast"/>
                          <w:rPr>
                            <w:rFonts w:ascii="Verdana" w:eastAsia="Times New Roman" w:hAnsi="Verdana" w:cs="Times New Roman"/>
                            <w:color w:val="333333"/>
                            <w:sz w:val="18"/>
                            <w:szCs w:val="18"/>
                          </w:rPr>
                        </w:pPr>
                        <w:r w:rsidRPr="00CD42E9">
                          <w:rPr>
                            <w:rFonts w:ascii="Verdana" w:eastAsia="Times New Roman" w:hAnsi="Verdana" w:cs="Times New Roman"/>
                            <w:color w:val="333333"/>
                            <w:sz w:val="18"/>
                            <w:szCs w:val="18"/>
                          </w:rPr>
                          <w:t> </w:t>
                        </w:r>
                      </w:p>
                      <w:p w:rsidR="00CD42E9" w:rsidRPr="00CD42E9" w:rsidRDefault="00CD42E9" w:rsidP="00CD42E9">
                        <w:pPr>
                          <w:spacing w:after="360" w:line="300" w:lineRule="atLeast"/>
                          <w:textAlignment w:val="baseline"/>
                          <w:rPr>
                            <w:rFonts w:ascii="Arial" w:eastAsia="Times New Roman" w:hAnsi="Arial" w:cs="Arial"/>
                            <w:color w:val="404040"/>
                            <w:sz w:val="20"/>
                            <w:szCs w:val="20"/>
                          </w:rPr>
                        </w:pPr>
                        <w:r w:rsidRPr="00CD42E9">
                          <w:rPr>
                            <w:rFonts w:ascii="Arial" w:eastAsia="Times New Roman" w:hAnsi="Arial" w:cs="Arial"/>
                            <w:color w:val="404040"/>
                            <w:sz w:val="20"/>
                            <w:szCs w:val="20"/>
                          </w:rPr>
                          <w:t>Για το Διοικητικό Συμβούλιο</w:t>
                        </w:r>
                      </w:p>
                      <w:p w:rsidR="00CD42E9" w:rsidRPr="00CD42E9" w:rsidRDefault="00CD42E9" w:rsidP="00CD42E9">
                        <w:pPr>
                          <w:spacing w:after="360" w:line="300" w:lineRule="atLeast"/>
                          <w:textAlignment w:val="baseline"/>
                          <w:rPr>
                            <w:rFonts w:ascii="Arial" w:eastAsia="Times New Roman" w:hAnsi="Arial" w:cs="Arial"/>
                            <w:color w:val="404040"/>
                            <w:sz w:val="20"/>
                            <w:szCs w:val="20"/>
                          </w:rPr>
                        </w:pPr>
                        <w:r w:rsidRPr="00CD42E9">
                          <w:rPr>
                            <w:rFonts w:ascii="Arial" w:eastAsia="Times New Roman" w:hAnsi="Arial" w:cs="Arial"/>
                            <w:color w:val="404040"/>
                            <w:sz w:val="20"/>
                            <w:szCs w:val="20"/>
                          </w:rPr>
                          <w:t>Η Πρόεδρος              Ο Γενικός Γραμματέας</w:t>
                        </w:r>
                      </w:p>
                      <w:p w:rsidR="00CD42E9" w:rsidRPr="00CD42E9" w:rsidRDefault="00CD42E9" w:rsidP="00CD42E9">
                        <w:pPr>
                          <w:spacing w:after="360" w:line="300" w:lineRule="atLeast"/>
                          <w:textAlignment w:val="baseline"/>
                          <w:rPr>
                            <w:rFonts w:ascii="Arial" w:eastAsia="Times New Roman" w:hAnsi="Arial" w:cs="Arial"/>
                            <w:color w:val="404040"/>
                            <w:sz w:val="20"/>
                            <w:szCs w:val="20"/>
                          </w:rPr>
                        </w:pPr>
                        <w:r w:rsidRPr="00CD42E9">
                          <w:rPr>
                            <w:rFonts w:ascii="Arial" w:eastAsia="Times New Roman" w:hAnsi="Arial" w:cs="Arial"/>
                            <w:color w:val="404040"/>
                            <w:sz w:val="20"/>
                            <w:szCs w:val="20"/>
                          </w:rPr>
                          <w:t>Άννα Μαστοράκου   Οικονομου Δημητριος</w:t>
                        </w:r>
                      </w:p>
                    </w:tc>
                    <w:tc>
                      <w:tcPr>
                        <w:tcW w:w="2700" w:type="dxa"/>
                        <w:shd w:val="clear" w:color="auto" w:fill="FFFFFF"/>
                        <w:hideMark/>
                      </w:tcPr>
                      <w:tbl>
                        <w:tblPr>
                          <w:tblW w:w="2700" w:type="dxa"/>
                          <w:tblCellSpacing w:w="0" w:type="dxa"/>
                          <w:shd w:val="clear" w:color="auto" w:fill="D6BAA1"/>
                          <w:tblCellMar>
                            <w:left w:w="0" w:type="dxa"/>
                            <w:right w:w="0" w:type="dxa"/>
                          </w:tblCellMar>
                          <w:tblLook w:val="04A0" w:firstRow="1" w:lastRow="0" w:firstColumn="1" w:lastColumn="0" w:noHBand="0" w:noVBand="1"/>
                        </w:tblPr>
                        <w:tblGrid>
                          <w:gridCol w:w="2700"/>
                        </w:tblGrid>
                        <w:tr w:rsidR="00CD42E9" w:rsidRPr="00CD42E9">
                          <w:trPr>
                            <w:tblCellSpacing w:w="0" w:type="dxa"/>
                          </w:trPr>
                          <w:tc>
                            <w:tcPr>
                              <w:tcW w:w="0" w:type="auto"/>
                              <w:shd w:val="clear" w:color="auto" w:fill="D6BAA1"/>
                              <w:vAlign w:val="center"/>
                              <w:hideMark/>
                            </w:tcPr>
                            <w:p w:rsidR="00CD42E9" w:rsidRPr="00CD42E9" w:rsidRDefault="00CD42E9" w:rsidP="00CD42E9">
                              <w:pPr>
                                <w:spacing w:after="0" w:line="240" w:lineRule="auto"/>
                                <w:rPr>
                                  <w:rFonts w:ascii="Times New Roman" w:eastAsia="Times New Roman" w:hAnsi="Times New Roman" w:cs="Times New Roman"/>
                                  <w:sz w:val="24"/>
                                  <w:szCs w:val="24"/>
                                </w:rPr>
                              </w:pPr>
                              <w:r>
                                <w:rPr>
                                  <w:noProof/>
                                </w:rPr>
                                <w:lastRenderedPageBreak/>
                                <mc:AlternateContent>
                                  <mc:Choice Requires="wps">
                                    <w:drawing>
                                      <wp:inline distT="0" distB="0" distL="0" distR="0">
                                        <wp:extent cx="1711960" cy="53340"/>
                                        <wp:effectExtent l="0" t="0" r="0" b="3810"/>
                                        <wp:docPr id="4" name="AutoShape 7" descr="blob:https://outlook.live.com/c77ba8b5-a913-4917-b664-c1966c00e0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196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blob:https://outlook.live.com/c77ba8b5-a913-4917-b664-c1966c00e076" style="width:134.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" filled="f" stroked="f">
                                        <o:lock v:ext="edit" aspectratio="t"/>
                                        <w10:anchorlock/>
                                      </v:rect>
                                    </w:pict>
                                  </mc:Fallback>
                                </mc:AlternateContent>
                              </w:r>
                            </w:p>
                          </w:tc>
                        </w:tr>
                        <w:tr w:rsidR="00CD42E9" w:rsidRPr="00CD42E9">
                          <w:trPr>
                            <w:tblCellSpacing w:w="0" w:type="dxa"/>
                          </w:trPr>
                          <w:tc>
                            <w:tcPr>
                              <w:tcW w:w="0" w:type="auto"/>
                              <w:shd w:val="clear" w:color="auto" w:fill="CCCCCC"/>
                              <w:tcMar>
                                <w:top w:w="150" w:type="dxa"/>
                                <w:left w:w="150" w:type="dxa"/>
                                <w:bottom w:w="150" w:type="dxa"/>
                                <w:right w:w="150" w:type="dxa"/>
                              </w:tcMar>
                              <w:vAlign w:val="center"/>
                              <w:hideMark/>
                            </w:tcPr>
                            <w:p w:rsidR="00CD42E9" w:rsidRPr="00CD42E9" w:rsidRDefault="00CD42E9" w:rsidP="00CD42E9">
                              <w:pPr>
                                <w:shd w:val="clear" w:color="auto" w:fill="FFFFFF"/>
                                <w:spacing w:after="300" w:line="300" w:lineRule="atLeast"/>
                                <w:textAlignment w:val="baseline"/>
                                <w:outlineLvl w:val="0"/>
                                <w:rPr>
                                  <w:rFonts w:ascii="Arial" w:eastAsia="Times New Roman" w:hAnsi="Arial" w:cs="Arial"/>
                                  <w:b/>
                                  <w:bCs/>
                                  <w:i/>
                                  <w:iCs/>
                                  <w:color w:val="0E3A5D"/>
                                  <w:kern w:val="36"/>
                                  <w:sz w:val="24"/>
                                  <w:szCs w:val="24"/>
                                </w:rPr>
                              </w:pPr>
                              <w:r w:rsidRPr="00CD42E9">
                                <w:rPr>
                                  <w:rFonts w:ascii="Arial" w:eastAsia="Times New Roman" w:hAnsi="Arial" w:cs="Arial"/>
                                  <w:b/>
                                  <w:bCs/>
                                  <w:i/>
                                  <w:iCs/>
                                  <w:color w:val="0E3A5D"/>
                                  <w:kern w:val="36"/>
                                  <w:sz w:val="24"/>
                                  <w:szCs w:val="24"/>
                                </w:rPr>
                                <w:t>ΕΝ. Ι. Ε.Ο.Π.Υ.Υ.</w:t>
                              </w:r>
                            </w:p>
                          </w:tc>
                        </w:tr>
                        <w:tr w:rsidR="00CD42E9" w:rsidRPr="00CD42E9">
                          <w:trPr>
                            <w:tblCellSpacing w:w="0" w:type="dxa"/>
                          </w:trPr>
                          <w:tc>
                            <w:tcPr>
                              <w:tcW w:w="0" w:type="auto"/>
                              <w:shd w:val="clear" w:color="auto" w:fill="D6BAA1"/>
                              <w:vAlign w:val="center"/>
                              <w:hideMark/>
                            </w:tcPr>
                            <w:p w:rsidR="00CD42E9" w:rsidRPr="00CD42E9" w:rsidRDefault="00CD42E9" w:rsidP="00CD42E9">
                              <w:pPr>
                                <w:spacing w:after="0" w:line="240" w:lineRule="auto"/>
                                <w:rPr>
                                  <w:rFonts w:ascii="Times New Roman" w:eastAsia="Times New Roman" w:hAnsi="Times New Roman" w:cs="Times New Roman"/>
                                  <w:sz w:val="24"/>
                                  <w:szCs w:val="24"/>
                                </w:rPr>
                              </w:pPr>
                              <w:r>
                                <w:rPr>
                                  <w:noProof/>
                                </w:rPr>
                                <mc:AlternateContent>
                                  <mc:Choice Requires="wps">
                                    <w:drawing>
                                      <wp:inline distT="0" distB="0" distL="0" distR="0">
                                        <wp:extent cx="1711960" cy="53340"/>
                                        <wp:effectExtent l="0" t="0" r="0" b="3810"/>
                                        <wp:docPr id="3" name="AutoShape 8" descr="blob:https://outlook.live.com/a27bb438-8538-4468-a5dc-2aaf0c2fac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196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blob:https://outlook.live.com/a27bb438-8538-4468-a5dc-2aaf0c2face8" style="width:134.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" filled="f" stroked="f">
                                        <o:lock v:ext="edit" aspectratio="t"/>
                                        <w10:anchorlock/>
                                      </v:rect>
                                    </w:pict>
                                  </mc:Fallback>
                                </mc:AlternateContent>
                              </w:r>
                            </w:p>
                          </w:tc>
                        </w:tr>
                      </w:tbl>
                      <w:p w:rsidR="00CD42E9" w:rsidRPr="00CD42E9" w:rsidRDefault="00CD42E9" w:rsidP="00CD42E9">
                        <w:pPr>
                          <w:spacing w:after="0" w:line="240" w:lineRule="auto"/>
                          <w:rPr>
                            <w:rFonts w:ascii="Times New Roman" w:eastAsia="Times New Roman" w:hAnsi="Times New Roman" w:cs="Times New Roman"/>
                            <w:sz w:val="24"/>
                            <w:szCs w:val="24"/>
                          </w:rPr>
                        </w:pPr>
                      </w:p>
                    </w:tc>
                  </w:tr>
                </w:tbl>
                <w:p w:rsidR="00CD42E9" w:rsidRPr="00CD42E9" w:rsidRDefault="00CD42E9" w:rsidP="00CD42E9">
                  <w:pPr>
                    <w:spacing w:after="0" w:line="240" w:lineRule="auto"/>
                    <w:rPr>
                      <w:rFonts w:ascii="Verdana" w:eastAsia="Times New Roman" w:hAnsi="Verdana" w:cs="Times New Roman"/>
                      <w:sz w:val="24"/>
                      <w:szCs w:val="24"/>
                    </w:rPr>
                  </w:pPr>
                </w:p>
              </w:tc>
            </w:tr>
          </w:tbl>
          <w:p w:rsidR="00CD42E9" w:rsidRPr="00CD42E9" w:rsidRDefault="00CD42E9" w:rsidP="00CD42E9">
            <w:pPr>
              <w:spacing w:after="0" w:line="240" w:lineRule="auto"/>
              <w:rPr>
                <w:rFonts w:ascii="Times New Roman" w:eastAsia="Times New Roman" w:hAnsi="Times New Roman" w:cs="Times New Roman"/>
                <w:sz w:val="24"/>
                <w:szCs w:val="24"/>
              </w:rPr>
            </w:pPr>
          </w:p>
        </w:tc>
      </w:tr>
    </w:tbl>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02187"/>
    <w:multiLevelType w:val="multilevel"/>
    <w:tmpl w:val="F5A4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E9"/>
    <w:rsid w:val="00106E10"/>
    <w:rsid w:val="001A48E2"/>
    <w:rsid w:val="00CD42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D42E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D42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D42E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D42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78381">
      <w:bodyDiv w:val="1"/>
      <w:marLeft w:val="0"/>
      <w:marRight w:val="0"/>
      <w:marTop w:val="0"/>
      <w:marBottom w:val="0"/>
      <w:divBdr>
        <w:top w:val="none" w:sz="0" w:space="0" w:color="auto"/>
        <w:left w:val="none" w:sz="0" w:space="0" w:color="auto"/>
        <w:bottom w:val="none" w:sz="0" w:space="0" w:color="auto"/>
        <w:right w:val="none" w:sz="0" w:space="0" w:color="auto"/>
      </w:divBdr>
      <w:divsChild>
        <w:div w:id="92550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707281">
              <w:marLeft w:val="0"/>
              <w:marRight w:val="0"/>
              <w:marTop w:val="0"/>
              <w:marBottom w:val="0"/>
              <w:divBdr>
                <w:top w:val="none" w:sz="0" w:space="0" w:color="auto"/>
                <w:left w:val="none" w:sz="0" w:space="0" w:color="auto"/>
                <w:bottom w:val="none" w:sz="0" w:space="0" w:color="auto"/>
                <w:right w:val="none" w:sz="0" w:space="0" w:color="auto"/>
              </w:divBdr>
            </w:div>
          </w:divsChild>
        </w:div>
        <w:div w:id="907349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878720">
              <w:marLeft w:val="0"/>
              <w:marRight w:val="0"/>
              <w:marTop w:val="0"/>
              <w:marBottom w:val="0"/>
              <w:divBdr>
                <w:top w:val="none" w:sz="0" w:space="0" w:color="auto"/>
                <w:left w:val="none" w:sz="0" w:space="0" w:color="auto"/>
                <w:bottom w:val="none" w:sz="0" w:space="0" w:color="auto"/>
                <w:right w:val="none" w:sz="0" w:space="0" w:color="auto"/>
              </w:divBdr>
              <w:divsChild>
                <w:div w:id="689379792">
                  <w:marLeft w:val="0"/>
                  <w:marRight w:val="0"/>
                  <w:marTop w:val="0"/>
                  <w:marBottom w:val="0"/>
                  <w:divBdr>
                    <w:top w:val="none" w:sz="0" w:space="0" w:color="auto"/>
                    <w:left w:val="none" w:sz="0" w:space="0" w:color="auto"/>
                    <w:bottom w:val="none" w:sz="0" w:space="0" w:color="auto"/>
                    <w:right w:val="none" w:sz="0" w:space="0" w:color="auto"/>
                  </w:divBdr>
                  <w:divsChild>
                    <w:div w:id="332607516">
                      <w:marLeft w:val="0"/>
                      <w:marRight w:val="0"/>
                      <w:marTop w:val="0"/>
                      <w:marBottom w:val="0"/>
                      <w:divBdr>
                        <w:top w:val="dashed" w:sz="6" w:space="0" w:color="008000"/>
                        <w:left w:val="dashed" w:sz="6" w:space="0" w:color="008000"/>
                        <w:bottom w:val="dashed" w:sz="6" w:space="0" w:color="008000"/>
                        <w:right w:val="dashed" w:sz="6" w:space="0" w:color="008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kaloudismd@yahoo.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i.eopyy@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erver65.mailstudio.gr/link.php?M=2787128&amp;N=12651&amp;L=2184&amp;F=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6</Pages>
  <Words>1324</Words>
  <Characters>7155</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2021-12-08T07:53:00Z</dcterms:created>
  <dcterms:modified xsi:type="dcterms:W3CDTF">2021-12-08T07:53:00Z</dcterms:modified>
</cp:coreProperties>
</file>