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483297" w:rsidRPr="00973C38" w:rsidRDefault="00FE233E" w:rsidP="00973C38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773860" w:rsidRPr="003579E4" w:rsidRDefault="00C17616" w:rsidP="00AB2557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  <w:t xml:space="preserve">Αθήνα, </w:t>
      </w:r>
      <w:r w:rsidR="001875D1" w:rsidRPr="003579E4">
        <w:rPr>
          <w:rFonts w:ascii="Tahoma" w:hAnsi="Tahoma" w:cs="Tahoma"/>
        </w:rPr>
        <w:t>15</w:t>
      </w:r>
      <w:r w:rsidR="001875D1">
        <w:rPr>
          <w:rFonts w:ascii="Tahoma" w:hAnsi="Tahoma" w:cs="Tahoma"/>
        </w:rPr>
        <w:t>/0</w:t>
      </w:r>
      <w:r w:rsidR="001875D1" w:rsidRPr="003579E4">
        <w:rPr>
          <w:rFonts w:ascii="Tahoma" w:hAnsi="Tahoma" w:cs="Tahoma"/>
        </w:rPr>
        <w:t>3</w:t>
      </w:r>
      <w:r w:rsidR="00773860" w:rsidRPr="00773860">
        <w:rPr>
          <w:rFonts w:ascii="Tahoma" w:hAnsi="Tahoma" w:cs="Tahoma"/>
        </w:rPr>
        <w:t>/2023</w:t>
      </w:r>
    </w:p>
    <w:p w:rsidR="001875D1" w:rsidRDefault="001875D1" w:rsidP="001875D1">
      <w:pPr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  <w:r w:rsidRPr="001875D1">
        <w:rPr>
          <w:rFonts w:ascii="Tahoma" w:hAnsi="Tahoma" w:cs="Tahoma"/>
          <w:b/>
          <w:u w:val="single"/>
        </w:rPr>
        <w:t>Δελτίο Τύπου</w:t>
      </w:r>
    </w:p>
    <w:p w:rsidR="001875D1" w:rsidRPr="00DD2846" w:rsidRDefault="001875D1" w:rsidP="001875D1">
      <w:pPr>
        <w:spacing w:before="100" w:beforeAutospacing="1" w:after="100" w:afterAutospacing="1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Συνάντηση του Υπ. Υγείας κ. </w:t>
      </w:r>
      <w:proofErr w:type="spellStart"/>
      <w:r>
        <w:rPr>
          <w:rFonts w:ascii="Tahoma" w:hAnsi="Tahoma" w:cs="Tahoma"/>
          <w:b/>
        </w:rPr>
        <w:t>Αθ</w:t>
      </w:r>
      <w:proofErr w:type="spellEnd"/>
      <w:r>
        <w:rPr>
          <w:rFonts w:ascii="Tahoma" w:hAnsi="Tahoma" w:cs="Tahoma"/>
          <w:b/>
        </w:rPr>
        <w:t xml:space="preserve">. </w:t>
      </w:r>
      <w:proofErr w:type="spellStart"/>
      <w:r>
        <w:rPr>
          <w:rFonts w:ascii="Tahoma" w:hAnsi="Tahoma" w:cs="Tahoma"/>
          <w:b/>
        </w:rPr>
        <w:t>Πλεύρη</w:t>
      </w:r>
      <w:proofErr w:type="spellEnd"/>
      <w:r>
        <w:rPr>
          <w:rFonts w:ascii="Tahoma" w:hAnsi="Tahoma" w:cs="Tahoma"/>
          <w:b/>
        </w:rPr>
        <w:t xml:space="preserve"> με τους εκπροσώπους του Συντονιστικού Οργάνου</w:t>
      </w:r>
      <w:r w:rsidR="005B2731">
        <w:rPr>
          <w:rFonts w:ascii="Tahoma" w:hAnsi="Tahoma" w:cs="Tahoma"/>
          <w:b/>
        </w:rPr>
        <w:t xml:space="preserve"> στην Ομάδα Εργασίας για την κατάργηση </w:t>
      </w:r>
      <w:r>
        <w:rPr>
          <w:rFonts w:ascii="Tahoma" w:hAnsi="Tahoma" w:cs="Tahoma"/>
          <w:b/>
        </w:rPr>
        <w:t xml:space="preserve">του </w:t>
      </w:r>
      <w:r>
        <w:rPr>
          <w:rFonts w:ascii="Tahoma" w:hAnsi="Tahoma" w:cs="Tahoma"/>
          <w:b/>
          <w:lang w:val="en-US"/>
        </w:rPr>
        <w:t>claw</w:t>
      </w:r>
      <w:r w:rsidRPr="001875D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en-US"/>
        </w:rPr>
        <w:t>back</w:t>
      </w:r>
      <w:r>
        <w:rPr>
          <w:rFonts w:ascii="Tahoma" w:hAnsi="Tahoma" w:cs="Tahoma"/>
          <w:b/>
        </w:rPr>
        <w:t xml:space="preserve"> </w:t>
      </w:r>
    </w:p>
    <w:p w:rsidR="001875D1" w:rsidRPr="001875D1" w:rsidRDefault="00DD2846" w:rsidP="001875D1">
      <w:pPr>
        <w:rPr>
          <w:rFonts w:ascii="Tahoma" w:hAnsi="Tahoma" w:cs="Tahoma"/>
        </w:rPr>
      </w:pPr>
      <w:r>
        <w:rPr>
          <w:rFonts w:ascii="Tahoma" w:hAnsi="Tahoma" w:cs="Tahoma"/>
        </w:rPr>
        <w:t>Χ</w:t>
      </w:r>
      <w:r w:rsidR="001875D1" w:rsidRPr="001875D1">
        <w:rPr>
          <w:rFonts w:ascii="Tahoma" w:hAnsi="Tahoma" w:cs="Tahoma"/>
        </w:rPr>
        <w:t xml:space="preserve">θες Τρίτη 14/3/2023 </w:t>
      </w:r>
      <w:r>
        <w:rPr>
          <w:rFonts w:ascii="Tahoma" w:hAnsi="Tahoma" w:cs="Tahoma"/>
        </w:rPr>
        <w:t xml:space="preserve">πραγματοποιήθηκε ευρεία συζήτηση, η οποία διήρκησε πλέον </w:t>
      </w:r>
      <w:r w:rsidR="001875D1" w:rsidRPr="001875D1">
        <w:rPr>
          <w:rFonts w:ascii="Tahoma" w:hAnsi="Tahoma" w:cs="Tahoma"/>
        </w:rPr>
        <w:t>των 2 ωρών</w:t>
      </w:r>
      <w:r>
        <w:rPr>
          <w:rFonts w:ascii="Tahoma" w:hAnsi="Tahoma" w:cs="Tahoma"/>
        </w:rPr>
        <w:t>, επί των προτάσεων της Ομάδας Ε</w:t>
      </w:r>
      <w:r w:rsidR="001875D1" w:rsidRPr="001875D1">
        <w:rPr>
          <w:rFonts w:ascii="Tahoma" w:hAnsi="Tahoma" w:cs="Tahoma"/>
        </w:rPr>
        <w:t>ργ</w:t>
      </w:r>
      <w:r>
        <w:rPr>
          <w:rFonts w:ascii="Tahoma" w:hAnsi="Tahoma" w:cs="Tahoma"/>
        </w:rPr>
        <w:t>ασίας που έχει συσταθεί από το Υπουργείο Υ</w:t>
      </w:r>
      <w:r w:rsidR="001875D1" w:rsidRPr="001875D1">
        <w:rPr>
          <w:rFonts w:ascii="Tahoma" w:hAnsi="Tahoma" w:cs="Tahoma"/>
        </w:rPr>
        <w:t xml:space="preserve">γείας για τον δραστικό περιορισμό </w:t>
      </w:r>
      <w:r w:rsidR="00727E72">
        <w:rPr>
          <w:rFonts w:ascii="Tahoma" w:hAnsi="Tahoma" w:cs="Tahoma"/>
        </w:rPr>
        <w:t xml:space="preserve">και την κατάργηση του </w:t>
      </w:r>
      <w:proofErr w:type="spellStart"/>
      <w:r w:rsidR="00727E72">
        <w:rPr>
          <w:rFonts w:ascii="Tahoma" w:hAnsi="Tahoma" w:cs="Tahoma"/>
        </w:rPr>
        <w:t>claw</w:t>
      </w:r>
      <w:proofErr w:type="spellEnd"/>
      <w:r w:rsidR="00727E72">
        <w:rPr>
          <w:rFonts w:ascii="Tahoma" w:hAnsi="Tahoma" w:cs="Tahoma"/>
        </w:rPr>
        <w:t xml:space="preserve"> </w:t>
      </w:r>
      <w:proofErr w:type="spellStart"/>
      <w:r w:rsidR="00727E72">
        <w:rPr>
          <w:rFonts w:ascii="Tahoma" w:hAnsi="Tahoma" w:cs="Tahoma"/>
        </w:rPr>
        <w:t>back</w:t>
      </w:r>
      <w:proofErr w:type="spellEnd"/>
      <w:r w:rsidR="00727E72">
        <w:rPr>
          <w:rFonts w:ascii="Tahoma" w:hAnsi="Tahoma" w:cs="Tahoma"/>
        </w:rPr>
        <w:t xml:space="preserve"> στις διαγνωστικές εξετάσεις.</w:t>
      </w:r>
    </w:p>
    <w:p w:rsidR="001875D1" w:rsidRPr="001875D1" w:rsidRDefault="001875D1" w:rsidP="001875D1">
      <w:pPr>
        <w:rPr>
          <w:rFonts w:ascii="Tahoma" w:hAnsi="Tahoma" w:cs="Tahoma"/>
        </w:rPr>
      </w:pPr>
      <w:r w:rsidRPr="001875D1">
        <w:rPr>
          <w:rFonts w:ascii="Tahoma" w:hAnsi="Tahoma" w:cs="Tahoma"/>
        </w:rPr>
        <w:t>Έγινε αναφορά στις 14 προτάσεις που αναφέρονται</w:t>
      </w:r>
      <w:r w:rsidR="00451984">
        <w:rPr>
          <w:rFonts w:ascii="Tahoma" w:hAnsi="Tahoma" w:cs="Tahoma"/>
        </w:rPr>
        <w:t xml:space="preserve"> στην σύνοψη των προτάσεων της Ομάδας Ε</w:t>
      </w:r>
      <w:r w:rsidRPr="001875D1">
        <w:rPr>
          <w:rFonts w:ascii="Tahoma" w:hAnsi="Tahoma" w:cs="Tahoma"/>
        </w:rPr>
        <w:t>ργασίας για την εφαρμογή τους μέσα στο 2023</w:t>
      </w:r>
      <w:r w:rsidR="00451984">
        <w:rPr>
          <w:rFonts w:ascii="Tahoma" w:hAnsi="Tahoma" w:cs="Tahoma"/>
        </w:rPr>
        <w:t>,</w:t>
      </w:r>
      <w:r w:rsidR="00AF7865">
        <w:rPr>
          <w:rFonts w:ascii="Tahoma" w:hAnsi="Tahoma" w:cs="Tahoma"/>
        </w:rPr>
        <w:t xml:space="preserve"> αλλά δεν ολοκληρώθηκε η διαβούλευση επί όλων αυτών.</w:t>
      </w:r>
    </w:p>
    <w:p w:rsidR="001875D1" w:rsidRPr="001875D1" w:rsidRDefault="001875D1" w:rsidP="001875D1">
      <w:pPr>
        <w:rPr>
          <w:rFonts w:ascii="Tahoma" w:hAnsi="Tahoma" w:cs="Tahoma"/>
        </w:rPr>
      </w:pPr>
      <w:r w:rsidRPr="001875D1">
        <w:rPr>
          <w:rFonts w:ascii="Tahoma" w:hAnsi="Tahoma" w:cs="Tahoma"/>
        </w:rPr>
        <w:t>Ως εκ τούτου θα υπάρξει νέα συνάντηση και συζήτηση για την ολοκλήρωση της διαβούλευσης επί αυτών των προτάσεων.</w:t>
      </w:r>
    </w:p>
    <w:p w:rsidR="001875D1" w:rsidRPr="001875D1" w:rsidRDefault="001875D1" w:rsidP="001875D1">
      <w:pPr>
        <w:rPr>
          <w:rFonts w:ascii="Tahoma" w:hAnsi="Tahoma" w:cs="Tahoma"/>
        </w:rPr>
      </w:pPr>
      <w:r w:rsidRPr="001875D1">
        <w:rPr>
          <w:rFonts w:ascii="Tahoma" w:hAnsi="Tahoma" w:cs="Tahoma"/>
        </w:rPr>
        <w:t xml:space="preserve">Ο Υπουργός Υγείας διευκρίνισε ότι για το 2023 ο προϋπολογισμός των διαγνωστικών εξετάσεων και πράξεων θα ξεκινήσει με το αντίστοιχο τελικό </w:t>
      </w:r>
      <w:proofErr w:type="spellStart"/>
      <w:r w:rsidRPr="001875D1">
        <w:rPr>
          <w:rFonts w:ascii="Tahoma" w:hAnsi="Tahoma" w:cs="Tahoma"/>
        </w:rPr>
        <w:t>budget</w:t>
      </w:r>
      <w:proofErr w:type="spellEnd"/>
      <w:r w:rsidRPr="001875D1">
        <w:rPr>
          <w:rFonts w:ascii="Tahoma" w:hAnsi="Tahoma" w:cs="Tahoma"/>
        </w:rPr>
        <w:t xml:space="preserve"> του 202</w:t>
      </w:r>
      <w:r w:rsidR="00127361">
        <w:rPr>
          <w:rFonts w:ascii="Tahoma" w:hAnsi="Tahoma" w:cs="Tahoma"/>
        </w:rPr>
        <w:t>2 (480 εκατ. ευρώ) και θα ενισχυθεί</w:t>
      </w:r>
      <w:r w:rsidRPr="001875D1">
        <w:rPr>
          <w:rFonts w:ascii="Tahoma" w:hAnsi="Tahoma" w:cs="Tahoma"/>
        </w:rPr>
        <w:t xml:space="preserve"> επιπλέον από πόρους οι οποίοι προέρχονται από το Ταμείο Ανάκαμψης, αλλά και από τον τακτικό προϋπολογισμό του ΕΟΠΥΥ, όπου το ύψος της ενίσχυσης θα προσδιοριστεί τις επόμενες μέρες.</w:t>
      </w:r>
    </w:p>
    <w:p w:rsidR="00F13FCD" w:rsidRDefault="001875D1" w:rsidP="001875D1">
      <w:pPr>
        <w:rPr>
          <w:rFonts w:ascii="Tahoma" w:hAnsi="Tahoma" w:cs="Tahoma"/>
        </w:rPr>
      </w:pPr>
      <w:r w:rsidRPr="001875D1">
        <w:rPr>
          <w:rFonts w:ascii="Tahoma" w:hAnsi="Tahoma" w:cs="Tahoma"/>
        </w:rPr>
        <w:t xml:space="preserve">Θα υπάρξει η δυνατότητα αξιοποίησης του επενδυτικού </w:t>
      </w:r>
      <w:proofErr w:type="spellStart"/>
      <w:r w:rsidRPr="001875D1">
        <w:rPr>
          <w:rFonts w:ascii="Tahoma" w:hAnsi="Tahoma" w:cs="Tahoma"/>
        </w:rPr>
        <w:t>claw</w:t>
      </w:r>
      <w:proofErr w:type="spellEnd"/>
      <w:r w:rsidR="00127361">
        <w:rPr>
          <w:rFonts w:ascii="Tahoma" w:hAnsi="Tahoma" w:cs="Tahoma"/>
        </w:rPr>
        <w:t xml:space="preserve"> </w:t>
      </w:r>
      <w:proofErr w:type="spellStart"/>
      <w:r w:rsidRPr="001875D1">
        <w:rPr>
          <w:rFonts w:ascii="Tahoma" w:hAnsi="Tahoma" w:cs="Tahoma"/>
        </w:rPr>
        <w:t>back</w:t>
      </w:r>
      <w:proofErr w:type="spellEnd"/>
      <w:r w:rsidRPr="001875D1">
        <w:rPr>
          <w:rFonts w:ascii="Tahoma" w:hAnsi="Tahoma" w:cs="Tahoma"/>
        </w:rPr>
        <w:t xml:space="preserve"> που είναι υπό έγκριση από την Ευρωπαϊκή Επιτροπή.</w:t>
      </w:r>
    </w:p>
    <w:p w:rsidR="001875D1" w:rsidRPr="001875D1" w:rsidRDefault="00F13FCD" w:rsidP="001875D1">
      <w:pPr>
        <w:rPr>
          <w:rFonts w:ascii="Tahoma" w:hAnsi="Tahoma" w:cs="Tahoma"/>
        </w:rPr>
      </w:pPr>
      <w:r>
        <w:rPr>
          <w:rFonts w:ascii="Tahoma" w:hAnsi="Tahoma" w:cs="Tahoma"/>
        </w:rPr>
        <w:t>Α</w:t>
      </w:r>
      <w:r w:rsidR="001875D1" w:rsidRPr="001875D1">
        <w:rPr>
          <w:rFonts w:ascii="Tahoma" w:hAnsi="Tahoma" w:cs="Tahoma"/>
        </w:rPr>
        <w:t xml:space="preserve">υτό σημαίνει ότι οι επενδύσεις που θα γίνονται για την ανανέωση του </w:t>
      </w:r>
      <w:proofErr w:type="spellStart"/>
      <w:r w:rsidR="001875D1" w:rsidRPr="001875D1">
        <w:rPr>
          <w:rFonts w:ascii="Tahoma" w:hAnsi="Tahoma" w:cs="Tahoma"/>
        </w:rPr>
        <w:t>ιατροτεχνολογικού</w:t>
      </w:r>
      <w:proofErr w:type="spellEnd"/>
      <w:r w:rsidR="001875D1" w:rsidRPr="001875D1">
        <w:rPr>
          <w:rFonts w:ascii="Tahoma" w:hAnsi="Tahoma" w:cs="Tahoma"/>
        </w:rPr>
        <w:t xml:space="preserve"> εξοπλισμού θα συμψηφίζονται με μέρους του </w:t>
      </w:r>
      <w:proofErr w:type="spellStart"/>
      <w:r w:rsidR="001875D1" w:rsidRPr="001875D1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1875D1" w:rsidRPr="001875D1">
        <w:rPr>
          <w:rFonts w:ascii="Tahoma" w:hAnsi="Tahoma" w:cs="Tahoma"/>
        </w:rPr>
        <w:t>back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κατ΄</w:t>
      </w:r>
      <w:proofErr w:type="spellEnd"/>
      <w:r w:rsidR="001875D1" w:rsidRPr="001875D1">
        <w:rPr>
          <w:rFonts w:ascii="Tahoma" w:hAnsi="Tahoma" w:cs="Tahoma"/>
        </w:rPr>
        <w:t xml:space="preserve"> </w:t>
      </w:r>
      <w:proofErr w:type="spellStart"/>
      <w:r w:rsidR="001875D1" w:rsidRPr="001875D1">
        <w:rPr>
          <w:rFonts w:ascii="Tahoma" w:hAnsi="Tahoma" w:cs="Tahoma"/>
        </w:rPr>
        <w:t>αναλογία</w:t>
      </w:r>
      <w:r>
        <w:rPr>
          <w:rFonts w:ascii="Tahoma" w:hAnsi="Tahoma" w:cs="Tahoma"/>
        </w:rPr>
        <w:t>ν</w:t>
      </w:r>
      <w:proofErr w:type="spellEnd"/>
      <w:r>
        <w:rPr>
          <w:rFonts w:ascii="Tahoma" w:hAnsi="Tahoma" w:cs="Tahoma"/>
        </w:rPr>
        <w:t xml:space="preserve"> του </w:t>
      </w:r>
      <w:r w:rsidR="001875D1" w:rsidRPr="001875D1">
        <w:rPr>
          <w:rFonts w:ascii="Tahoma" w:hAnsi="Tahoma" w:cs="Tahoma"/>
        </w:rPr>
        <w:t>όπως εφαρμόζεται ήδη στις φαρμακοβιομηχανίες.</w:t>
      </w:r>
    </w:p>
    <w:p w:rsidR="00E6102E" w:rsidRPr="00E6102E" w:rsidRDefault="001875D1" w:rsidP="00E6102E">
      <w:pPr>
        <w:pStyle w:val="Default"/>
      </w:pPr>
      <w:r w:rsidRPr="001875D1">
        <w:rPr>
          <w:rFonts w:ascii="Tahoma" w:hAnsi="Tahoma" w:cs="Tahoma"/>
        </w:rPr>
        <w:t xml:space="preserve">Συμφωνήθηκε να υπάρξει επιτροπή ελέγχου της </w:t>
      </w:r>
      <w:proofErr w:type="spellStart"/>
      <w:r w:rsidRPr="001875D1">
        <w:rPr>
          <w:rFonts w:ascii="Tahoma" w:hAnsi="Tahoma" w:cs="Tahoma"/>
        </w:rPr>
        <w:t>συνταγογράφησης</w:t>
      </w:r>
      <w:proofErr w:type="spellEnd"/>
      <w:r w:rsidRPr="001875D1">
        <w:rPr>
          <w:rFonts w:ascii="Tahoma" w:hAnsi="Tahoma" w:cs="Tahoma"/>
        </w:rPr>
        <w:t xml:space="preserve"> και παρακολούθησης της δαπάνης τ</w:t>
      </w:r>
      <w:r w:rsidR="00E6102E">
        <w:rPr>
          <w:rFonts w:ascii="Tahoma" w:hAnsi="Tahoma" w:cs="Tahoma"/>
        </w:rPr>
        <w:t xml:space="preserve">ων διαγνωστικών </w:t>
      </w:r>
      <w:r w:rsidR="00E6102E" w:rsidRPr="00E6102E">
        <w:rPr>
          <w:rFonts w:ascii="Tahoma" w:hAnsi="Tahoma" w:cs="Tahoma"/>
        </w:rPr>
        <w:t>εξετάσεων κατά το υπόδειγμα της Επιτροπής Παρακολούθησης Φαρμακευτικής Δαπάνης.</w:t>
      </w:r>
      <w:r w:rsidR="00E6102E">
        <w:rPr>
          <w:sz w:val="22"/>
          <w:szCs w:val="22"/>
        </w:rPr>
        <w:t xml:space="preserve"> </w:t>
      </w:r>
    </w:p>
    <w:p w:rsidR="001875D1" w:rsidRPr="001875D1" w:rsidRDefault="001875D1" w:rsidP="001875D1">
      <w:pPr>
        <w:rPr>
          <w:rFonts w:ascii="Tahoma" w:hAnsi="Tahoma" w:cs="Tahoma"/>
        </w:rPr>
      </w:pPr>
      <w:r w:rsidRPr="001875D1">
        <w:rPr>
          <w:rFonts w:ascii="Tahoma" w:hAnsi="Tahoma" w:cs="Tahoma"/>
        </w:rPr>
        <w:t>Συμφωνήθηκε οι καινούργιες εξετάσεις που θα εντάσσονται στο σύστημα αποζημίωσης να έχουν ξεχωριστό κωδικό</w:t>
      </w:r>
      <w:r w:rsidR="00E6102E">
        <w:rPr>
          <w:rFonts w:ascii="Tahoma" w:hAnsi="Tahoma" w:cs="Tahoma"/>
        </w:rPr>
        <w:t>,</w:t>
      </w:r>
      <w:r w:rsidRPr="001875D1">
        <w:rPr>
          <w:rFonts w:ascii="Tahoma" w:hAnsi="Tahoma" w:cs="Tahoma"/>
        </w:rPr>
        <w:t xml:space="preserve"> με δικό τους προϋπολογισμό</w:t>
      </w:r>
      <w:r w:rsidR="00E6102E">
        <w:rPr>
          <w:rFonts w:ascii="Tahoma" w:hAnsi="Tahoma" w:cs="Tahoma"/>
        </w:rPr>
        <w:t xml:space="preserve"> και να μην επιβαρύνουν τον υφιστάμενο </w:t>
      </w:r>
      <w:r w:rsidRPr="001875D1">
        <w:rPr>
          <w:rFonts w:ascii="Tahoma" w:hAnsi="Tahoma" w:cs="Tahoma"/>
        </w:rPr>
        <w:t xml:space="preserve">προϋπολογισμό του ΕΟΠΥΥ, ενώ παράλληλα θα δημιουργείται πρωτόκολλο </w:t>
      </w:r>
      <w:proofErr w:type="spellStart"/>
      <w:r w:rsidRPr="001875D1">
        <w:rPr>
          <w:rFonts w:ascii="Tahoma" w:hAnsi="Tahoma" w:cs="Tahoma"/>
        </w:rPr>
        <w:t>συνταγογράφησης</w:t>
      </w:r>
      <w:proofErr w:type="spellEnd"/>
      <w:r w:rsidRPr="001875D1">
        <w:rPr>
          <w:rFonts w:ascii="Tahoma" w:hAnsi="Tahoma" w:cs="Tahoma"/>
        </w:rPr>
        <w:t xml:space="preserve"> για κάθε μία από αυτές</w:t>
      </w:r>
      <w:r w:rsidR="006832EB">
        <w:rPr>
          <w:rFonts w:ascii="Tahoma" w:hAnsi="Tahoma" w:cs="Tahoma"/>
        </w:rPr>
        <w:t>,</w:t>
      </w:r>
      <w:r w:rsidRPr="001875D1">
        <w:rPr>
          <w:rFonts w:ascii="Tahoma" w:hAnsi="Tahoma" w:cs="Tahoma"/>
        </w:rPr>
        <w:t xml:space="preserve"> ώστε να είναι ελεγχόμενη δαπάνη τους.</w:t>
      </w:r>
    </w:p>
    <w:p w:rsidR="00FB5DA5" w:rsidRDefault="006D0973" w:rsidP="001875D1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Συμφωνήθηκε να αφαιρεθούν</w:t>
      </w:r>
      <w:r w:rsidR="001875D1" w:rsidRPr="001875D1">
        <w:rPr>
          <w:rFonts w:ascii="Tahoma" w:hAnsi="Tahoma" w:cs="Tahoma"/>
        </w:rPr>
        <w:t xml:space="preserve"> εξετάσεις που δεν θεωρούνται απαραίτητες</w:t>
      </w:r>
      <w:r w:rsidR="001D58D7">
        <w:rPr>
          <w:rFonts w:ascii="Tahoma" w:hAnsi="Tahoma" w:cs="Tahoma"/>
        </w:rPr>
        <w:t xml:space="preserve"> και </w:t>
      </w:r>
      <w:r w:rsidR="001875D1" w:rsidRPr="001875D1">
        <w:rPr>
          <w:rFonts w:ascii="Tahoma" w:hAnsi="Tahoma" w:cs="Tahoma"/>
        </w:rPr>
        <w:t>να πραγματοποιηθεί απόλυτος περιορισμός τ</w:t>
      </w:r>
      <w:r w:rsidR="00FB5DA5">
        <w:rPr>
          <w:rFonts w:ascii="Tahoma" w:hAnsi="Tahoma" w:cs="Tahoma"/>
        </w:rPr>
        <w:t xml:space="preserve">ων εξετάσεων μέσω </w:t>
      </w:r>
      <w:proofErr w:type="spellStart"/>
      <w:r w:rsidR="00FB5DA5">
        <w:rPr>
          <w:rFonts w:ascii="Tahoma" w:hAnsi="Tahoma" w:cs="Tahoma"/>
        </w:rPr>
        <w:t>συνταγογραφικών</w:t>
      </w:r>
      <w:proofErr w:type="spellEnd"/>
      <w:r w:rsidR="00FB5DA5">
        <w:rPr>
          <w:rFonts w:ascii="Tahoma" w:hAnsi="Tahoma" w:cs="Tahoma"/>
        </w:rPr>
        <w:t xml:space="preserve"> κοφτών ανά ΑΜΚΑ.</w:t>
      </w:r>
    </w:p>
    <w:p w:rsidR="001875D1" w:rsidRPr="001875D1" w:rsidRDefault="00FB5DA5" w:rsidP="001875D1">
      <w:pPr>
        <w:rPr>
          <w:rFonts w:ascii="Tahoma" w:hAnsi="Tahoma" w:cs="Tahoma"/>
        </w:rPr>
      </w:pPr>
      <w:r>
        <w:rPr>
          <w:rFonts w:ascii="Tahoma" w:hAnsi="Tahoma" w:cs="Tahoma"/>
        </w:rPr>
        <w:t>Συμφωνήθηκε κ</w:t>
      </w:r>
      <w:r w:rsidR="001875D1" w:rsidRPr="001875D1">
        <w:rPr>
          <w:rFonts w:ascii="Tahoma" w:hAnsi="Tahoma" w:cs="Tahoma"/>
        </w:rPr>
        <w:t>άποιες εξετάσεις οι οποίες επιβαρύνουν υπέρμετρα τον προϋπολογισμό του ΕΟΠΥΥ να εξαιρεθούν της αποζημίωσης (</w:t>
      </w:r>
      <w:r w:rsidR="00747BCB">
        <w:rPr>
          <w:rFonts w:ascii="Tahoma" w:hAnsi="Tahoma" w:cs="Tahoma"/>
        </w:rPr>
        <w:t xml:space="preserve">π.χ. οι </w:t>
      </w:r>
      <w:r w:rsidR="001875D1" w:rsidRPr="001875D1">
        <w:rPr>
          <w:rFonts w:ascii="Tahoma" w:hAnsi="Tahoma" w:cs="Tahoma"/>
        </w:rPr>
        <w:t>βιταμίνες D3 κ</w:t>
      </w:r>
      <w:r w:rsidR="00F01A0F">
        <w:rPr>
          <w:rFonts w:ascii="Tahoma" w:hAnsi="Tahoma" w:cs="Tahoma"/>
        </w:rPr>
        <w:t xml:space="preserve">αι B12 </w:t>
      </w:r>
      <w:r>
        <w:rPr>
          <w:rFonts w:ascii="Tahoma" w:hAnsi="Tahoma" w:cs="Tahoma"/>
        </w:rPr>
        <w:t>καταλαμβάνουν το 12,5% της δαπά</w:t>
      </w:r>
      <w:r w:rsidR="001875D1" w:rsidRPr="001875D1">
        <w:rPr>
          <w:rFonts w:ascii="Tahoma" w:hAnsi="Tahoma" w:cs="Tahoma"/>
        </w:rPr>
        <w:t>νης</w:t>
      </w:r>
      <w:r w:rsidR="00F01A0F">
        <w:rPr>
          <w:rFonts w:ascii="Tahoma" w:hAnsi="Tahoma" w:cs="Tahoma"/>
        </w:rPr>
        <w:t xml:space="preserve"> του προϋπολογισμού για τις βιοχημικές εξετάσεις</w:t>
      </w:r>
      <w:r w:rsidR="001875D1" w:rsidRPr="001875D1">
        <w:rPr>
          <w:rFonts w:ascii="Tahoma" w:hAnsi="Tahoma" w:cs="Tahoma"/>
        </w:rPr>
        <w:t>).</w:t>
      </w:r>
    </w:p>
    <w:p w:rsidR="001875D1" w:rsidRPr="001875D1" w:rsidRDefault="001875D1" w:rsidP="001875D1">
      <w:pPr>
        <w:rPr>
          <w:rFonts w:ascii="Tahoma" w:hAnsi="Tahoma" w:cs="Tahoma"/>
        </w:rPr>
      </w:pPr>
      <w:r w:rsidRPr="001875D1">
        <w:rPr>
          <w:rFonts w:ascii="Tahoma" w:hAnsi="Tahoma" w:cs="Tahoma"/>
        </w:rPr>
        <w:t>Εξετάζεται θετικά η αποζημίωση ανά αιμοληψία κα</w:t>
      </w:r>
      <w:r w:rsidR="00636CD1">
        <w:rPr>
          <w:rFonts w:ascii="Tahoma" w:hAnsi="Tahoma" w:cs="Tahoma"/>
        </w:rPr>
        <w:t>ι η αμοιβή ιατρικής γνωμάτευσης από τους φορείς Π.Φ.Υ.</w:t>
      </w:r>
    </w:p>
    <w:p w:rsidR="001875D1" w:rsidRPr="001875D1" w:rsidRDefault="00B758FD" w:rsidP="001875D1">
      <w:pPr>
        <w:rPr>
          <w:rFonts w:ascii="Tahoma" w:hAnsi="Tahoma" w:cs="Tahoma"/>
        </w:rPr>
      </w:pPr>
      <w:r>
        <w:rPr>
          <w:rFonts w:ascii="Tahoma" w:hAnsi="Tahoma" w:cs="Tahoma"/>
        </w:rPr>
        <w:t>Κατατέθηκε αίτημα για να οριστεί διαδικασία</w:t>
      </w:r>
      <w:r w:rsidR="001875D1" w:rsidRPr="001875D1">
        <w:rPr>
          <w:rFonts w:ascii="Tahoma" w:hAnsi="Tahoma" w:cs="Tahoma"/>
        </w:rPr>
        <w:t xml:space="preserve"> επανελέγχου των δομών πρωτοβάθμιας φροντίδας υγείας όπου λόγω της εφαρμογής των ποιοτικών κριτηρίων στα ακτινολογικά μηχανήματα έχουν εξαιρεθεί της αποζημ</w:t>
      </w:r>
      <w:r>
        <w:rPr>
          <w:rFonts w:ascii="Tahoma" w:hAnsi="Tahoma" w:cs="Tahoma"/>
        </w:rPr>
        <w:t>ίωσης και έχουν κάνει ενστάσεις.</w:t>
      </w:r>
    </w:p>
    <w:p w:rsidR="001875D1" w:rsidRPr="001875D1" w:rsidRDefault="00B758FD" w:rsidP="001875D1">
      <w:pPr>
        <w:rPr>
          <w:rFonts w:ascii="Tahoma" w:hAnsi="Tahoma" w:cs="Tahoma"/>
        </w:rPr>
      </w:pPr>
      <w:r>
        <w:rPr>
          <w:rFonts w:ascii="Tahoma" w:hAnsi="Tahoma" w:cs="Tahoma"/>
        </w:rPr>
        <w:t>Από πλευράς</w:t>
      </w:r>
      <w:r w:rsidR="00636CD1">
        <w:rPr>
          <w:rFonts w:ascii="Tahoma" w:hAnsi="Tahoma" w:cs="Tahoma"/>
        </w:rPr>
        <w:t xml:space="preserve"> Συντονιστικού Ο</w:t>
      </w:r>
      <w:r w:rsidR="001875D1" w:rsidRPr="001875D1">
        <w:rPr>
          <w:rFonts w:ascii="Tahoma" w:hAnsi="Tahoma" w:cs="Tahoma"/>
        </w:rPr>
        <w:t xml:space="preserve">ργάνου ετέθη το θέμα της αύξησης της αμοιβής </w:t>
      </w:r>
      <w:r w:rsidR="000A192C">
        <w:rPr>
          <w:rFonts w:ascii="Tahoma" w:hAnsi="Tahoma" w:cs="Tahoma"/>
        </w:rPr>
        <w:t xml:space="preserve">των εργαστηριακών και της επίσκεψης των κλινικών και </w:t>
      </w:r>
      <w:proofErr w:type="spellStart"/>
      <w:r w:rsidR="000A192C">
        <w:rPr>
          <w:rFonts w:ascii="Tahoma" w:hAnsi="Tahoma" w:cs="Tahoma"/>
        </w:rPr>
        <w:t>κλινικοε</w:t>
      </w:r>
      <w:r w:rsidR="001875D1" w:rsidRPr="001875D1">
        <w:rPr>
          <w:rFonts w:ascii="Tahoma" w:hAnsi="Tahoma" w:cs="Tahoma"/>
        </w:rPr>
        <w:t>ργαστηριακών</w:t>
      </w:r>
      <w:proofErr w:type="spellEnd"/>
      <w:r w:rsidR="001875D1" w:rsidRPr="001875D1">
        <w:rPr>
          <w:rFonts w:ascii="Tahoma" w:hAnsi="Tahoma" w:cs="Tahoma"/>
        </w:rPr>
        <w:t xml:space="preserve"> ιατρών που είναι καθηλωμένες εδώ και δεκαετίες.</w:t>
      </w:r>
    </w:p>
    <w:p w:rsidR="00636CD1" w:rsidRPr="001875D1" w:rsidRDefault="00636CD1" w:rsidP="00636CD1">
      <w:pPr>
        <w:rPr>
          <w:rFonts w:ascii="Tahoma" w:hAnsi="Tahoma" w:cs="Tahoma"/>
        </w:rPr>
      </w:pPr>
      <w:r w:rsidRPr="00103318">
        <w:rPr>
          <w:rFonts w:ascii="Tahoma" w:hAnsi="Tahoma" w:cs="Tahoma"/>
        </w:rPr>
        <w:t>Τέλος, ο Υπουργός Υγείας δεσμεύτηκε στο ότι όσα</w:t>
      </w:r>
      <w:r w:rsidRPr="001875D1">
        <w:rPr>
          <w:rFonts w:ascii="Tahoma" w:hAnsi="Tahoma" w:cs="Tahoma"/>
        </w:rPr>
        <w:t xml:space="preserve"> ζητήματα χρειάζονται νομοθέτησης</w:t>
      </w:r>
      <w:r w:rsidRPr="00103318">
        <w:rPr>
          <w:rFonts w:ascii="Tahoma" w:hAnsi="Tahoma" w:cs="Tahoma"/>
        </w:rPr>
        <w:t>,</w:t>
      </w:r>
      <w:r w:rsidRPr="001875D1">
        <w:rPr>
          <w:rFonts w:ascii="Tahoma" w:hAnsi="Tahoma" w:cs="Tahoma"/>
        </w:rPr>
        <w:t xml:space="preserve"> θα ενταχθούν στο αμέσως προσεχές νομοσχέδιο που είναι για ψήφιση αρχές Απριλίου</w:t>
      </w:r>
      <w:r w:rsidR="008E3908">
        <w:rPr>
          <w:rFonts w:ascii="Tahoma" w:hAnsi="Tahoma" w:cs="Tahoma"/>
        </w:rPr>
        <w:t xml:space="preserve"> και πραγματοποιηθεί νέα</w:t>
      </w:r>
      <w:r w:rsidRPr="001875D1">
        <w:rPr>
          <w:rFonts w:ascii="Tahoma" w:hAnsi="Tahoma" w:cs="Tahoma"/>
        </w:rPr>
        <w:t xml:space="preserve"> συνάντηση για </w:t>
      </w:r>
      <w:r w:rsidR="008E3908">
        <w:rPr>
          <w:rFonts w:ascii="Tahoma" w:hAnsi="Tahoma" w:cs="Tahoma"/>
        </w:rPr>
        <w:t>όσα</w:t>
      </w:r>
      <w:r w:rsidRPr="001875D1">
        <w:rPr>
          <w:rFonts w:ascii="Tahoma" w:hAnsi="Tahoma" w:cs="Tahoma"/>
        </w:rPr>
        <w:t xml:space="preserve"> ζ</w:t>
      </w:r>
      <w:r w:rsidR="008E3908">
        <w:rPr>
          <w:rFonts w:ascii="Tahoma" w:hAnsi="Tahoma" w:cs="Tahoma"/>
        </w:rPr>
        <w:t>ητήματα δεν πρόλαβαν να συζητηθούν.</w:t>
      </w:r>
    </w:p>
    <w:p w:rsidR="001875D1" w:rsidRPr="001875D1" w:rsidRDefault="001875D1" w:rsidP="001875D1"/>
    <w:p w:rsidR="00955AF5" w:rsidRDefault="00955AF5" w:rsidP="00332918">
      <w:pPr>
        <w:widowControl w:val="0"/>
        <w:autoSpaceDE w:val="0"/>
        <w:autoSpaceDN w:val="0"/>
        <w:jc w:val="both"/>
        <w:rPr>
          <w:rFonts w:ascii="Tahoma" w:hAnsi="Tahoma" w:cs="Tahoma"/>
        </w:rPr>
      </w:pPr>
    </w:p>
    <w:p w:rsidR="006036DB" w:rsidRPr="005024B4" w:rsidRDefault="006036DB" w:rsidP="00955AF5">
      <w:pPr>
        <w:widowControl w:val="0"/>
        <w:autoSpaceDE w:val="0"/>
        <w:autoSpaceDN w:val="0"/>
        <w:ind w:left="360"/>
        <w:jc w:val="both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78" w:rsidRDefault="00BC1278" w:rsidP="005C542F">
      <w:r>
        <w:separator/>
      </w:r>
    </w:p>
  </w:endnote>
  <w:endnote w:type="continuationSeparator" w:id="0">
    <w:p w:rsidR="00BC1278" w:rsidRDefault="00BC1278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78" w:rsidRDefault="00BC1278" w:rsidP="005C542F">
      <w:r>
        <w:separator/>
      </w:r>
    </w:p>
  </w:footnote>
  <w:footnote w:type="continuationSeparator" w:id="0">
    <w:p w:rsidR="00BC1278" w:rsidRDefault="00BC1278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D6A"/>
    <w:rsid w:val="00176FB0"/>
    <w:rsid w:val="001771FE"/>
    <w:rsid w:val="001773B5"/>
    <w:rsid w:val="00180A43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46CC"/>
    <w:rsid w:val="00194935"/>
    <w:rsid w:val="001950D8"/>
    <w:rsid w:val="0019623A"/>
    <w:rsid w:val="00196682"/>
    <w:rsid w:val="00196D09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F12B7"/>
    <w:rsid w:val="005F2592"/>
    <w:rsid w:val="005F26D9"/>
    <w:rsid w:val="005F32A8"/>
    <w:rsid w:val="005F3884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1108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E72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3860"/>
    <w:rsid w:val="00773DB4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2A2D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4FF6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2AB9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278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7010B"/>
    <w:rsid w:val="00C70901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380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6AA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370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7F7"/>
    <w:rsid w:val="00E93EB3"/>
    <w:rsid w:val="00E94976"/>
    <w:rsid w:val="00E94CE6"/>
    <w:rsid w:val="00E95292"/>
    <w:rsid w:val="00EA0299"/>
    <w:rsid w:val="00EA0566"/>
    <w:rsid w:val="00EA1246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5291"/>
    <w:rsid w:val="00FB5DA5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A6A2-808F-4FCF-B816-1B267015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2023-03-19T09:13:00Z</dcterms:created>
  <dcterms:modified xsi:type="dcterms:W3CDTF">2023-03-19T09:13:00Z</dcterms:modified>
</cp:coreProperties>
</file>